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E4496" w14:textId="6A91EE97" w:rsidR="00856FD2" w:rsidRDefault="00AC0568" w:rsidP="7BABBD14">
      <w:pPr>
        <w:rPr>
          <w:b/>
          <w:bCs/>
          <w:sz w:val="28"/>
          <w:szCs w:val="28"/>
          <w:u w:val="single"/>
          <w:lang w:val="en-US"/>
        </w:rPr>
      </w:pPr>
      <w:r w:rsidRPr="7BABBD14">
        <w:rPr>
          <w:b/>
          <w:bCs/>
          <w:sz w:val="28"/>
          <w:szCs w:val="28"/>
          <w:u w:val="single"/>
          <w:lang w:val="en-US"/>
        </w:rPr>
        <w:t xml:space="preserve">Years </w:t>
      </w:r>
      <w:r w:rsidR="00B072DE">
        <w:rPr>
          <w:b/>
          <w:bCs/>
          <w:sz w:val="28"/>
          <w:szCs w:val="28"/>
          <w:u w:val="single"/>
          <w:lang w:val="en-US"/>
        </w:rPr>
        <w:t>10 &amp; 11</w:t>
      </w:r>
      <w:r w:rsidRPr="7BABBD14">
        <w:rPr>
          <w:b/>
          <w:bCs/>
          <w:sz w:val="28"/>
          <w:szCs w:val="28"/>
          <w:u w:val="single"/>
          <w:lang w:val="en-US"/>
        </w:rPr>
        <w:t xml:space="preserve"> Careers Overview 202</w:t>
      </w:r>
      <w:r w:rsidR="00855A2A">
        <w:rPr>
          <w:b/>
          <w:bCs/>
          <w:sz w:val="28"/>
          <w:szCs w:val="28"/>
          <w:u w:val="single"/>
          <w:lang w:val="en-US"/>
        </w:rPr>
        <w:t>4-25</w:t>
      </w:r>
    </w:p>
    <w:p w14:paraId="672A6659" w14:textId="77777777" w:rsidR="00AC0568" w:rsidRDefault="00AC0568">
      <w:pPr>
        <w:rPr>
          <w:b/>
          <w:sz w:val="28"/>
          <w:szCs w:val="28"/>
          <w:u w:val="single"/>
          <w:lang w:val="en-US"/>
        </w:rPr>
      </w:pPr>
    </w:p>
    <w:tbl>
      <w:tblPr>
        <w:tblStyle w:val="TableGrid"/>
        <w:tblW w:w="15593" w:type="dxa"/>
        <w:tblInd w:w="-572" w:type="dxa"/>
        <w:tblLook w:val="04A0" w:firstRow="1" w:lastRow="0" w:firstColumn="1" w:lastColumn="0" w:noHBand="0" w:noVBand="1"/>
      </w:tblPr>
      <w:tblGrid>
        <w:gridCol w:w="1271"/>
        <w:gridCol w:w="1156"/>
        <w:gridCol w:w="6465"/>
        <w:gridCol w:w="1228"/>
        <w:gridCol w:w="5473"/>
      </w:tblGrid>
      <w:tr w:rsidR="00A041AC" w14:paraId="72A78E3A" w14:textId="77777777" w:rsidTr="7BABBD14">
        <w:tc>
          <w:tcPr>
            <w:tcW w:w="1271" w:type="dxa"/>
          </w:tcPr>
          <w:p w14:paraId="2EEC78D0" w14:textId="77777777" w:rsidR="00A041AC" w:rsidRDefault="00A041AC" w:rsidP="00741B99">
            <w:r>
              <w:t>Year Group</w:t>
            </w:r>
          </w:p>
        </w:tc>
        <w:tc>
          <w:tcPr>
            <w:tcW w:w="1156" w:type="dxa"/>
          </w:tcPr>
          <w:p w14:paraId="1D40DA24" w14:textId="77777777" w:rsidR="00A041AC" w:rsidRDefault="00A041AC" w:rsidP="00741B99">
            <w:r>
              <w:t>Lesson number</w:t>
            </w:r>
          </w:p>
        </w:tc>
        <w:tc>
          <w:tcPr>
            <w:tcW w:w="6465" w:type="dxa"/>
          </w:tcPr>
          <w:p w14:paraId="57B952C6" w14:textId="77777777" w:rsidR="00A041AC" w:rsidRDefault="00A041AC" w:rsidP="00741B99">
            <w:r>
              <w:t>Lesson Title</w:t>
            </w:r>
          </w:p>
        </w:tc>
        <w:tc>
          <w:tcPr>
            <w:tcW w:w="1228" w:type="dxa"/>
          </w:tcPr>
          <w:p w14:paraId="2F2135E3" w14:textId="77777777" w:rsidR="00A041AC" w:rsidRDefault="00A041AC" w:rsidP="00741B99">
            <w:r>
              <w:t>Gatsby</w:t>
            </w:r>
          </w:p>
          <w:p w14:paraId="5C50FC28" w14:textId="77777777" w:rsidR="00A041AC" w:rsidRDefault="00A041AC" w:rsidP="00741B99">
            <w:r>
              <w:t>Benchmark</w:t>
            </w:r>
          </w:p>
        </w:tc>
        <w:tc>
          <w:tcPr>
            <w:tcW w:w="5473" w:type="dxa"/>
          </w:tcPr>
          <w:p w14:paraId="1AF84FA6" w14:textId="77777777" w:rsidR="00A041AC" w:rsidRDefault="00A041AC" w:rsidP="00741B99">
            <w:r>
              <w:t>Brief Description</w:t>
            </w:r>
            <w:r w:rsidR="007C21A6">
              <w:t xml:space="preserve"> of content</w:t>
            </w:r>
          </w:p>
        </w:tc>
      </w:tr>
      <w:tr w:rsidR="00A041AC" w14:paraId="51244208" w14:textId="77777777" w:rsidTr="7BABBD14">
        <w:tc>
          <w:tcPr>
            <w:tcW w:w="1271" w:type="dxa"/>
          </w:tcPr>
          <w:p w14:paraId="24A2EEFA" w14:textId="45BF1F38" w:rsidR="00A041AC" w:rsidRPr="00412125" w:rsidRDefault="00B072DE" w:rsidP="00741B99">
            <w:pPr>
              <w:rPr>
                <w:b/>
                <w:bCs/>
              </w:rPr>
            </w:pPr>
            <w:r w:rsidRPr="00412125">
              <w:rPr>
                <w:b/>
                <w:bCs/>
              </w:rPr>
              <w:t>L5 (Yr 10)</w:t>
            </w:r>
          </w:p>
        </w:tc>
        <w:tc>
          <w:tcPr>
            <w:tcW w:w="7621" w:type="dxa"/>
            <w:gridSpan w:val="2"/>
          </w:tcPr>
          <w:p w14:paraId="40461B20" w14:textId="74940FA9" w:rsidR="00A041AC" w:rsidRPr="00AC0568" w:rsidRDefault="00A041AC" w:rsidP="00741B99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0A37501D" w14:textId="77777777" w:rsidR="00A041AC" w:rsidRDefault="00A041AC" w:rsidP="00741B99"/>
        </w:tc>
        <w:tc>
          <w:tcPr>
            <w:tcW w:w="5473" w:type="dxa"/>
          </w:tcPr>
          <w:p w14:paraId="5DAB6C7B" w14:textId="77777777" w:rsidR="00A041AC" w:rsidRDefault="00A041AC" w:rsidP="00741B99"/>
        </w:tc>
      </w:tr>
      <w:tr w:rsidR="00A041AC" w14:paraId="3F7BF8A0" w14:textId="77777777" w:rsidTr="7BABBD14">
        <w:tc>
          <w:tcPr>
            <w:tcW w:w="1271" w:type="dxa"/>
          </w:tcPr>
          <w:p w14:paraId="02EB378F" w14:textId="77777777" w:rsidR="00A041AC" w:rsidRDefault="00A041AC" w:rsidP="00741B99"/>
        </w:tc>
        <w:tc>
          <w:tcPr>
            <w:tcW w:w="1156" w:type="dxa"/>
          </w:tcPr>
          <w:p w14:paraId="649841BE" w14:textId="77777777" w:rsidR="00A041AC" w:rsidRDefault="00A041AC" w:rsidP="00A041AC">
            <w:pPr>
              <w:jc w:val="center"/>
            </w:pPr>
            <w:r>
              <w:t>1</w:t>
            </w:r>
          </w:p>
        </w:tc>
        <w:tc>
          <w:tcPr>
            <w:tcW w:w="6465" w:type="dxa"/>
          </w:tcPr>
          <w:p w14:paraId="4C5BC44B" w14:textId="6AC66A01" w:rsidR="00A041AC" w:rsidRDefault="0018479D" w:rsidP="00311C83">
            <w:r>
              <w:rPr>
                <w:rFonts w:ascii="Calibri" w:hAnsi="Calibri" w:cs="Calibri"/>
              </w:rPr>
              <w:t>Jobs for the future</w:t>
            </w:r>
          </w:p>
        </w:tc>
        <w:tc>
          <w:tcPr>
            <w:tcW w:w="1228" w:type="dxa"/>
          </w:tcPr>
          <w:p w14:paraId="56B20A0C" w14:textId="18E8919B" w:rsidR="00A041AC" w:rsidRDefault="00A041AC" w:rsidP="00741B99">
            <w:r>
              <w:t>1</w:t>
            </w:r>
            <w:r w:rsidR="00265EDB">
              <w:t xml:space="preserve"> &amp; 3</w:t>
            </w:r>
          </w:p>
        </w:tc>
        <w:tc>
          <w:tcPr>
            <w:tcW w:w="5473" w:type="dxa"/>
          </w:tcPr>
          <w:p w14:paraId="6B378205" w14:textId="514A7823" w:rsidR="00686BA8" w:rsidRDefault="00686BA8" w:rsidP="00686BA8">
            <w:pPr>
              <w:rPr>
                <w:rFonts w:ascii="Calibri" w:hAnsi="Calibri" w:cs="Calibri"/>
              </w:rPr>
            </w:pPr>
            <w:r w:rsidRPr="00FE01C4">
              <w:rPr>
                <w:rFonts w:ascii="Calibri" w:hAnsi="Calibri" w:cs="Calibri"/>
              </w:rPr>
              <w:t xml:space="preserve">To understand that </w:t>
            </w:r>
            <w:r>
              <w:rPr>
                <w:rFonts w:ascii="Calibri" w:hAnsi="Calibri" w:cs="Calibri"/>
              </w:rPr>
              <w:t>the types of jobs available has changed over time &amp; will continue to change. To explore the role of artificial intelligence in to the future of jobs.</w:t>
            </w:r>
          </w:p>
          <w:p w14:paraId="4B83D9B9" w14:textId="77777777" w:rsidR="00686BA8" w:rsidRDefault="00686BA8" w:rsidP="00686B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look at the employability skills required for the future.</w:t>
            </w:r>
          </w:p>
          <w:p w14:paraId="1C447B3B" w14:textId="77777777" w:rsidR="00686BA8" w:rsidRPr="00FE01C4" w:rsidRDefault="00686BA8" w:rsidP="00686B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appreciate that there are many complex factors which may influence the Careers of the future.</w:t>
            </w:r>
          </w:p>
          <w:p w14:paraId="0CB60072" w14:textId="1874A577" w:rsidR="00A041AC" w:rsidRDefault="00A041AC" w:rsidP="73C51881"/>
        </w:tc>
      </w:tr>
      <w:tr w:rsidR="00A041AC" w14:paraId="4ECCE8FE" w14:textId="77777777" w:rsidTr="7BABBD14">
        <w:tc>
          <w:tcPr>
            <w:tcW w:w="1271" w:type="dxa"/>
          </w:tcPr>
          <w:p w14:paraId="6A05A809" w14:textId="77777777" w:rsidR="00A041AC" w:rsidRDefault="00A041AC" w:rsidP="00741B99"/>
        </w:tc>
        <w:tc>
          <w:tcPr>
            <w:tcW w:w="1156" w:type="dxa"/>
          </w:tcPr>
          <w:p w14:paraId="18F999B5" w14:textId="77777777" w:rsidR="00A041AC" w:rsidRDefault="00A041AC" w:rsidP="00A041AC">
            <w:pPr>
              <w:jc w:val="center"/>
            </w:pPr>
            <w:r>
              <w:t>2</w:t>
            </w:r>
          </w:p>
        </w:tc>
        <w:tc>
          <w:tcPr>
            <w:tcW w:w="6465" w:type="dxa"/>
          </w:tcPr>
          <w:p w14:paraId="330A3C87" w14:textId="32AF6C30" w:rsidR="00A041AC" w:rsidRDefault="008B1FCD" w:rsidP="00741B99">
            <w:r>
              <w:rPr>
                <w:rFonts w:ascii="Calibri" w:hAnsi="Calibri" w:cs="Calibri"/>
              </w:rPr>
              <w:t>Jobs in STEM</w:t>
            </w:r>
          </w:p>
        </w:tc>
        <w:tc>
          <w:tcPr>
            <w:tcW w:w="1228" w:type="dxa"/>
          </w:tcPr>
          <w:p w14:paraId="002B21E1" w14:textId="44B2428B" w:rsidR="00A041AC" w:rsidRDefault="00707CF9" w:rsidP="00707CF9">
            <w:r>
              <w:t>1 &amp; 4</w:t>
            </w:r>
          </w:p>
        </w:tc>
        <w:tc>
          <w:tcPr>
            <w:tcW w:w="5473" w:type="dxa"/>
          </w:tcPr>
          <w:p w14:paraId="3F2E89B7" w14:textId="2344E13D" w:rsidR="003A7E59" w:rsidRPr="00FB55F6" w:rsidRDefault="003A7E59" w:rsidP="003A7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understand the terms STEM, gendered careers &amp; foundation subjects. </w:t>
            </w:r>
            <w:r w:rsidRPr="00FB55F6">
              <w:rPr>
                <w:rFonts w:ascii="Calibri" w:hAnsi="Calibri" w:cs="Calibri"/>
              </w:rPr>
              <w:t>Correctly identify and describe the benefits of pursuing a career in the STEM industries.</w:t>
            </w:r>
          </w:p>
          <w:p w14:paraId="77660433" w14:textId="77777777" w:rsidR="003A7E59" w:rsidRPr="00FB55F6" w:rsidRDefault="003A7E59" w:rsidP="003A7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consider </w:t>
            </w:r>
            <w:r w:rsidRPr="00FB55F6">
              <w:rPr>
                <w:rFonts w:ascii="Calibri" w:hAnsi="Calibri" w:cs="Calibri"/>
              </w:rPr>
              <w:t>why you should consider more than the starting salaries when considering career options.</w:t>
            </w:r>
          </w:p>
          <w:p w14:paraId="1FBC06C0" w14:textId="77777777" w:rsidR="003A7E59" w:rsidRPr="00FB55F6" w:rsidRDefault="003A7E59" w:rsidP="003A7E59">
            <w:pPr>
              <w:rPr>
                <w:rFonts w:ascii="Calibri" w:hAnsi="Calibri" w:cs="Calibri"/>
              </w:rPr>
            </w:pPr>
            <w:r w:rsidRPr="00FB55F6">
              <w:rPr>
                <w:rFonts w:ascii="Calibri" w:hAnsi="Calibri" w:cs="Calibri"/>
              </w:rPr>
              <w:t xml:space="preserve">Explain why more </w:t>
            </w:r>
            <w:r>
              <w:rPr>
                <w:rFonts w:ascii="Calibri" w:hAnsi="Calibri" w:cs="Calibri"/>
              </w:rPr>
              <w:t>women should take up STEM linked careers, how they</w:t>
            </w:r>
            <w:r w:rsidRPr="00FB55F6">
              <w:rPr>
                <w:rFonts w:ascii="Calibri" w:hAnsi="Calibri" w:cs="Calibri"/>
              </w:rPr>
              <w:t xml:space="preserve"> can be a great career for males or females. Analyse what makes a career a ‘rewarding’ one.</w:t>
            </w:r>
          </w:p>
          <w:p w14:paraId="3D9FC14A" w14:textId="46C9DD55" w:rsidR="00A041AC" w:rsidRPr="00503BF3" w:rsidRDefault="00A041AC" w:rsidP="7BABBD14">
            <w:pPr>
              <w:pStyle w:val="Default"/>
              <w:spacing w:after="81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03BF3" w14:paraId="3776C55A" w14:textId="77777777" w:rsidTr="7BABBD14">
        <w:tc>
          <w:tcPr>
            <w:tcW w:w="1271" w:type="dxa"/>
          </w:tcPr>
          <w:p w14:paraId="5A39BBE3" w14:textId="77777777" w:rsidR="00503BF3" w:rsidRDefault="00503BF3" w:rsidP="00741B99"/>
        </w:tc>
        <w:tc>
          <w:tcPr>
            <w:tcW w:w="1156" w:type="dxa"/>
          </w:tcPr>
          <w:p w14:paraId="5FCD5EC4" w14:textId="77777777" w:rsidR="00503BF3" w:rsidRDefault="00503BF3" w:rsidP="00A041AC">
            <w:pPr>
              <w:jc w:val="center"/>
            </w:pPr>
            <w:r>
              <w:t>3</w:t>
            </w:r>
          </w:p>
        </w:tc>
        <w:tc>
          <w:tcPr>
            <w:tcW w:w="6465" w:type="dxa"/>
          </w:tcPr>
          <w:p w14:paraId="5EF77B0B" w14:textId="38ACC259" w:rsidR="00503BF3" w:rsidRDefault="00092B55" w:rsidP="00741B99">
            <w:r>
              <w:rPr>
                <w:rFonts w:ascii="Calibri" w:hAnsi="Calibri" w:cs="Calibri"/>
              </w:rPr>
              <w:t>Local LMI</w:t>
            </w:r>
          </w:p>
        </w:tc>
        <w:tc>
          <w:tcPr>
            <w:tcW w:w="1228" w:type="dxa"/>
          </w:tcPr>
          <w:p w14:paraId="516DAD72" w14:textId="53767350" w:rsidR="00503BF3" w:rsidRDefault="005E2BF1" w:rsidP="005E2BF1">
            <w:r>
              <w:t>1 &amp; 4</w:t>
            </w:r>
          </w:p>
        </w:tc>
        <w:tc>
          <w:tcPr>
            <w:tcW w:w="5473" w:type="dxa"/>
          </w:tcPr>
          <w:p w14:paraId="5699C3AB" w14:textId="6C7A6D95" w:rsidR="000447CE" w:rsidRDefault="000447CE" w:rsidP="000447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understand the terms LMI. To appreciate what the LMI of the South West is. To be able to compare and contrast LMI statistics and information for a selection of regions in England. To consider how the LMI of the future might change &amp; how they might need to prepare.</w:t>
            </w:r>
          </w:p>
          <w:p w14:paraId="3A5A47D9" w14:textId="5A8C9C26" w:rsidR="00503BF3" w:rsidRPr="00503BF3" w:rsidRDefault="00503BF3" w:rsidP="00503BF3">
            <w:pPr>
              <w:jc w:val="both"/>
            </w:pPr>
          </w:p>
        </w:tc>
      </w:tr>
      <w:tr w:rsidR="00A041AC" w14:paraId="09A7D927" w14:textId="77777777" w:rsidTr="7BABBD14">
        <w:tc>
          <w:tcPr>
            <w:tcW w:w="1271" w:type="dxa"/>
          </w:tcPr>
          <w:p w14:paraId="41C8F396" w14:textId="77777777" w:rsidR="00A041AC" w:rsidRDefault="00A041AC" w:rsidP="00741B99"/>
        </w:tc>
        <w:tc>
          <w:tcPr>
            <w:tcW w:w="1156" w:type="dxa"/>
          </w:tcPr>
          <w:p w14:paraId="2598DEE6" w14:textId="77777777" w:rsidR="00A041AC" w:rsidRDefault="00055393" w:rsidP="00A041AC">
            <w:pPr>
              <w:jc w:val="center"/>
            </w:pPr>
            <w:r>
              <w:t>4</w:t>
            </w:r>
          </w:p>
        </w:tc>
        <w:tc>
          <w:tcPr>
            <w:tcW w:w="6465" w:type="dxa"/>
          </w:tcPr>
          <w:p w14:paraId="74E3837C" w14:textId="6337D501" w:rsidR="00A041AC" w:rsidRDefault="00C72B5B" w:rsidP="00741B99">
            <w:r>
              <w:rPr>
                <w:rFonts w:ascii="Calibri" w:hAnsi="Calibri" w:cs="Calibri"/>
              </w:rPr>
              <w:t>Career Stereotypes</w:t>
            </w:r>
          </w:p>
        </w:tc>
        <w:tc>
          <w:tcPr>
            <w:tcW w:w="1228" w:type="dxa"/>
          </w:tcPr>
          <w:p w14:paraId="60E3B30A" w14:textId="77777777" w:rsidR="00A041AC" w:rsidRDefault="00503BF3" w:rsidP="00503BF3">
            <w:pPr>
              <w:jc w:val="both"/>
            </w:pPr>
            <w:r>
              <w:t>1 &amp; 2</w:t>
            </w:r>
          </w:p>
        </w:tc>
        <w:tc>
          <w:tcPr>
            <w:tcW w:w="5473" w:type="dxa"/>
          </w:tcPr>
          <w:p w14:paraId="1E694379" w14:textId="6712B2D3" w:rsidR="004B537D" w:rsidRPr="00E16D15" w:rsidRDefault="004B537D" w:rsidP="004B537D">
            <w:pPr>
              <w:rPr>
                <w:rFonts w:ascii="Calibri" w:hAnsi="Calibri" w:cs="Calibri"/>
              </w:rPr>
            </w:pPr>
            <w:r w:rsidRPr="00E16D15">
              <w:rPr>
                <w:rFonts w:ascii="Calibri" w:hAnsi="Calibri" w:cs="Calibri"/>
              </w:rPr>
              <w:t>To understand that stereotypes do exist in careers-possibly related to gender, sexuality, race</w:t>
            </w:r>
            <w:r>
              <w:rPr>
                <w:rFonts w:ascii="Calibri" w:hAnsi="Calibri" w:cs="Calibri"/>
              </w:rPr>
              <w:t>,</w:t>
            </w:r>
            <w:r w:rsidRPr="00E16D15">
              <w:rPr>
                <w:rFonts w:ascii="Calibri" w:hAnsi="Calibri" w:cs="Calibri"/>
              </w:rPr>
              <w:t xml:space="preserve"> or age.</w:t>
            </w:r>
          </w:p>
          <w:p w14:paraId="474E4156" w14:textId="77777777" w:rsidR="004B537D" w:rsidRPr="00E16D15" w:rsidRDefault="004B537D" w:rsidP="004B53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84848"/>
              </w:rPr>
            </w:pPr>
            <w:r w:rsidRPr="00E16D15">
              <w:rPr>
                <w:rFonts w:ascii="Calibri" w:hAnsi="Calibri" w:cs="Calibri"/>
                <w:color w:val="484848"/>
              </w:rPr>
              <w:t>To provide a catalyst for challenging preconceived ideas about the types of people that work in certain roles.</w:t>
            </w:r>
          </w:p>
          <w:p w14:paraId="202D6BEB" w14:textId="77777777" w:rsidR="004B537D" w:rsidRPr="00E16D15" w:rsidRDefault="004B537D" w:rsidP="004B53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84848"/>
              </w:rPr>
            </w:pPr>
            <w:r w:rsidRPr="00E16D15">
              <w:rPr>
                <w:rFonts w:ascii="Calibri" w:hAnsi="Calibri" w:cs="Calibri"/>
                <w:color w:val="484848"/>
              </w:rPr>
              <w:lastRenderedPageBreak/>
              <w:t>To consider what might be done to challenge and change existing stereotypes.</w:t>
            </w:r>
          </w:p>
          <w:p w14:paraId="559C16B1" w14:textId="53B33E48" w:rsidR="00A041AC" w:rsidRDefault="00A041AC" w:rsidP="00741B99"/>
        </w:tc>
      </w:tr>
      <w:tr w:rsidR="00A041AC" w14:paraId="3F63C911" w14:textId="77777777" w:rsidTr="7BABBD14">
        <w:tc>
          <w:tcPr>
            <w:tcW w:w="1271" w:type="dxa"/>
          </w:tcPr>
          <w:p w14:paraId="72A3D3EC" w14:textId="77777777" w:rsidR="00A041AC" w:rsidRDefault="00A041AC" w:rsidP="00741B99"/>
        </w:tc>
        <w:tc>
          <w:tcPr>
            <w:tcW w:w="1156" w:type="dxa"/>
          </w:tcPr>
          <w:p w14:paraId="78941E47" w14:textId="77777777" w:rsidR="00A041AC" w:rsidRDefault="00503BF3" w:rsidP="00A041AC">
            <w:pPr>
              <w:jc w:val="center"/>
            </w:pPr>
            <w:r>
              <w:t>5</w:t>
            </w:r>
          </w:p>
        </w:tc>
        <w:tc>
          <w:tcPr>
            <w:tcW w:w="6465" w:type="dxa"/>
          </w:tcPr>
          <w:p w14:paraId="19AD3746" w14:textId="136AD6B3" w:rsidR="00A041AC" w:rsidRDefault="00BE0B56" w:rsidP="00861432">
            <w:r>
              <w:rPr>
                <w:rFonts w:ascii="Calibri" w:hAnsi="Calibri" w:cs="Calibri"/>
              </w:rPr>
              <w:t>Employability Skills</w:t>
            </w:r>
          </w:p>
        </w:tc>
        <w:tc>
          <w:tcPr>
            <w:tcW w:w="1228" w:type="dxa"/>
          </w:tcPr>
          <w:p w14:paraId="3D89C0DF" w14:textId="08CAC7E2" w:rsidR="00A041AC" w:rsidRDefault="00C22B8A" w:rsidP="00741B99">
            <w:r>
              <w:t>1</w:t>
            </w:r>
          </w:p>
        </w:tc>
        <w:tc>
          <w:tcPr>
            <w:tcW w:w="5473" w:type="dxa"/>
          </w:tcPr>
          <w:p w14:paraId="75C8AA29" w14:textId="1FDE662D" w:rsidR="007A1D83" w:rsidRPr="002F5073" w:rsidRDefault="007A1D83" w:rsidP="002F50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</w:rPr>
            </w:pPr>
            <w:r w:rsidRPr="00692FEF">
              <w:rPr>
                <w:rFonts w:ascii="Calibri" w:hAnsi="Calibri" w:cs="Calibri"/>
                <w:color w:val="333333"/>
              </w:rPr>
              <w:t>Understand the range of skills that are increasingly valuable in the workplace</w:t>
            </w:r>
            <w:r>
              <w:rPr>
                <w:rFonts w:ascii="Calibri" w:hAnsi="Calibri" w:cs="Calibri"/>
                <w:color w:val="333333"/>
              </w:rPr>
              <w:t xml:space="preserve">. </w:t>
            </w:r>
            <w:r w:rsidRPr="00692FEF">
              <w:rPr>
                <w:rFonts w:ascii="Calibri" w:hAnsi="Calibri" w:cs="Calibri"/>
                <w:color w:val="333333"/>
              </w:rPr>
              <w:t>Explain how they might develop one or more of these skills to be ready for the future workplace</w:t>
            </w:r>
            <w:r>
              <w:rPr>
                <w:rFonts w:ascii="Calibri" w:hAnsi="Calibri" w:cs="Calibri"/>
                <w:color w:val="333333"/>
              </w:rPr>
              <w:t xml:space="preserve">. </w:t>
            </w:r>
            <w:r w:rsidRPr="00692FEF">
              <w:rPr>
                <w:rFonts w:ascii="Calibri" w:hAnsi="Calibri" w:cs="Calibri"/>
                <w:lang w:val="en-US"/>
              </w:rPr>
              <w:t>Correctly identify enterprise skills in the workplace from examples.</w:t>
            </w:r>
            <w:r w:rsidR="002F5073">
              <w:rPr>
                <w:rFonts w:ascii="Calibri" w:hAnsi="Calibri" w:cs="Calibri"/>
                <w:lang w:val="en-US"/>
              </w:rPr>
              <w:t xml:space="preserve"> </w:t>
            </w:r>
            <w:r w:rsidR="002F5073" w:rsidRPr="00692FEF">
              <w:rPr>
                <w:rFonts w:ascii="Calibri" w:hAnsi="Calibri" w:cs="Calibri"/>
                <w:lang w:val="en-US"/>
              </w:rPr>
              <w:t>workplace</w:t>
            </w:r>
            <w:r w:rsidRPr="00692FEF">
              <w:rPr>
                <w:rFonts w:ascii="Calibri" w:hAnsi="Calibri" w:cs="Calibri"/>
                <w:lang w:val="en-US"/>
              </w:rPr>
              <w:t xml:space="preserve"> environments and how you could develop your enterprise skills in future.</w:t>
            </w:r>
          </w:p>
          <w:p w14:paraId="3C301458" w14:textId="6B71ECDD" w:rsidR="00A041AC" w:rsidRDefault="00A041AC" w:rsidP="00B445B5"/>
        </w:tc>
      </w:tr>
      <w:tr w:rsidR="00A041AC" w14:paraId="4C6A943D" w14:textId="77777777" w:rsidTr="7BABBD14">
        <w:tc>
          <w:tcPr>
            <w:tcW w:w="1271" w:type="dxa"/>
          </w:tcPr>
          <w:p w14:paraId="4B94D5A5" w14:textId="77777777" w:rsidR="00A041AC" w:rsidRDefault="00A041AC" w:rsidP="00741B99"/>
        </w:tc>
        <w:tc>
          <w:tcPr>
            <w:tcW w:w="1156" w:type="dxa"/>
          </w:tcPr>
          <w:p w14:paraId="44B0A208" w14:textId="174B45C4" w:rsidR="00A041AC" w:rsidRDefault="003F4A01" w:rsidP="00A041AC">
            <w:pPr>
              <w:jc w:val="center"/>
            </w:pPr>
            <w:r>
              <w:t>6</w:t>
            </w:r>
          </w:p>
        </w:tc>
        <w:tc>
          <w:tcPr>
            <w:tcW w:w="6465" w:type="dxa"/>
          </w:tcPr>
          <w:p w14:paraId="7D66BB94" w14:textId="3C5297C2" w:rsidR="00A041AC" w:rsidRDefault="004E7591" w:rsidP="00741B99">
            <w:r>
              <w:t>Employability Skills</w:t>
            </w:r>
            <w:r w:rsidR="000C17CC">
              <w:t>- Problem Solving Skills</w:t>
            </w:r>
          </w:p>
        </w:tc>
        <w:tc>
          <w:tcPr>
            <w:tcW w:w="1228" w:type="dxa"/>
          </w:tcPr>
          <w:p w14:paraId="3B0A58B3" w14:textId="77777777" w:rsidR="00A041AC" w:rsidRDefault="00503BF3" w:rsidP="00503BF3">
            <w:pPr>
              <w:jc w:val="both"/>
            </w:pPr>
            <w:r>
              <w:t>1,2</w:t>
            </w:r>
          </w:p>
        </w:tc>
        <w:tc>
          <w:tcPr>
            <w:tcW w:w="5473" w:type="dxa"/>
          </w:tcPr>
          <w:p w14:paraId="49B28233" w14:textId="38EACFB7" w:rsidR="004E7591" w:rsidRPr="00685265" w:rsidRDefault="004E7591" w:rsidP="004E759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85265">
              <w:rPr>
                <w:rFonts w:ascii="Calibri" w:hAnsi="Calibri" w:cs="Calibri"/>
              </w:rPr>
              <w:t>Identify problems of different scales and what is needed to solve them</w:t>
            </w:r>
            <w:r>
              <w:rPr>
                <w:rFonts w:ascii="Calibri" w:hAnsi="Calibri" w:cs="Calibri"/>
              </w:rPr>
              <w:t xml:space="preserve">. </w:t>
            </w:r>
            <w:r w:rsidRPr="00685265">
              <w:rPr>
                <w:rFonts w:ascii="Calibri" w:hAnsi="Calibri" w:cs="Calibri"/>
              </w:rPr>
              <w:t>Illustrate the use of an adaptable approach to solving problems</w:t>
            </w:r>
            <w:r>
              <w:rPr>
                <w:rFonts w:ascii="Calibri" w:hAnsi="Calibri" w:cs="Calibri"/>
              </w:rPr>
              <w:t xml:space="preserve">. </w:t>
            </w:r>
            <w:r w:rsidRPr="00685265">
              <w:rPr>
                <w:rFonts w:ascii="Calibri" w:hAnsi="Calibri" w:cs="Calibri"/>
              </w:rPr>
              <w:t>Understand that problem solving is a core transferable skill and identify its usefulness in a work setting</w:t>
            </w:r>
            <w:r>
              <w:rPr>
                <w:rFonts w:ascii="Calibri" w:hAnsi="Calibri" w:cs="Calibri"/>
              </w:rPr>
              <w:t xml:space="preserve">. </w:t>
            </w:r>
            <w:r w:rsidRPr="00685265">
              <w:rPr>
                <w:rFonts w:ascii="Calibri" w:hAnsi="Calibri" w:cs="Calibri"/>
              </w:rPr>
              <w:t>Work in a team to solve a problem</w:t>
            </w:r>
          </w:p>
          <w:p w14:paraId="3879C74B" w14:textId="6B4FB8F6" w:rsidR="00A041AC" w:rsidRDefault="00A041AC" w:rsidP="00503BF3"/>
        </w:tc>
      </w:tr>
      <w:tr w:rsidR="00055393" w14:paraId="63E12511" w14:textId="77777777" w:rsidTr="7BABBD14">
        <w:tc>
          <w:tcPr>
            <w:tcW w:w="1271" w:type="dxa"/>
          </w:tcPr>
          <w:p w14:paraId="3DEEC669" w14:textId="77777777" w:rsidR="00055393" w:rsidRDefault="00055393" w:rsidP="00055393"/>
        </w:tc>
        <w:tc>
          <w:tcPr>
            <w:tcW w:w="1156" w:type="dxa"/>
          </w:tcPr>
          <w:p w14:paraId="7FCFE94E" w14:textId="12FD3493" w:rsidR="00055393" w:rsidRDefault="00B843D3" w:rsidP="00055393">
            <w:pPr>
              <w:jc w:val="center"/>
            </w:pPr>
            <w:r>
              <w:t>7</w:t>
            </w:r>
          </w:p>
        </w:tc>
        <w:tc>
          <w:tcPr>
            <w:tcW w:w="6465" w:type="dxa"/>
          </w:tcPr>
          <w:p w14:paraId="42C98B13" w14:textId="58A7A400" w:rsidR="00055393" w:rsidRDefault="00B843D3" w:rsidP="00055393">
            <w:r>
              <w:rPr>
                <w:rFonts w:ascii="Calibri" w:hAnsi="Calibri" w:cs="Calibri"/>
              </w:rPr>
              <w:t>Aiming High (Proactivity)</w:t>
            </w:r>
          </w:p>
        </w:tc>
        <w:tc>
          <w:tcPr>
            <w:tcW w:w="1228" w:type="dxa"/>
          </w:tcPr>
          <w:p w14:paraId="6C177AC1" w14:textId="707CC07D" w:rsidR="00055393" w:rsidRDefault="005A4E6D" w:rsidP="00055393">
            <w:r>
              <w:t>1</w:t>
            </w:r>
          </w:p>
        </w:tc>
        <w:tc>
          <w:tcPr>
            <w:tcW w:w="5473" w:type="dxa"/>
          </w:tcPr>
          <w:p w14:paraId="37A09662" w14:textId="77777777" w:rsidR="001018F4" w:rsidRPr="00B87BB9" w:rsidRDefault="001018F4" w:rsidP="0010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87BB9">
              <w:rPr>
                <w:rFonts w:ascii="Calibri" w:hAnsi="Calibri" w:cs="Calibri"/>
              </w:rPr>
              <w:t>Identify opportunities to aim high in their everyday lives.</w:t>
            </w:r>
          </w:p>
          <w:p w14:paraId="311182AC" w14:textId="25D7D279" w:rsidR="001018F4" w:rsidRPr="007851AB" w:rsidRDefault="001018F4" w:rsidP="001018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87BB9">
              <w:rPr>
                <w:rFonts w:ascii="Calibri" w:hAnsi="Calibri" w:cs="Calibri"/>
              </w:rPr>
              <w:t>Understand the difference between being proactive and reactive.</w:t>
            </w:r>
            <w:r>
              <w:rPr>
                <w:rFonts w:ascii="Calibri" w:hAnsi="Calibri" w:cs="Calibri"/>
              </w:rPr>
              <w:t xml:space="preserve"> </w:t>
            </w:r>
            <w:r w:rsidRPr="00B87BB9">
              <w:rPr>
                <w:rFonts w:ascii="Calibri" w:hAnsi="Calibri" w:cs="Calibri"/>
              </w:rPr>
              <w:t>Recognise how being proactive can help them aim high and achieve their goals.</w:t>
            </w:r>
          </w:p>
          <w:p w14:paraId="3DDB4549" w14:textId="40A5E720" w:rsidR="00055393" w:rsidRDefault="00055393" w:rsidP="00055393"/>
        </w:tc>
      </w:tr>
      <w:tr w:rsidR="00055393" w14:paraId="6ACB03C5" w14:textId="77777777" w:rsidTr="7BABBD14">
        <w:tc>
          <w:tcPr>
            <w:tcW w:w="1271" w:type="dxa"/>
          </w:tcPr>
          <w:p w14:paraId="3656B9AB" w14:textId="77777777" w:rsidR="00055393" w:rsidRDefault="00055393" w:rsidP="00055393"/>
        </w:tc>
        <w:tc>
          <w:tcPr>
            <w:tcW w:w="1156" w:type="dxa"/>
          </w:tcPr>
          <w:p w14:paraId="4737E36C" w14:textId="77563524" w:rsidR="00055393" w:rsidRDefault="00732A6A" w:rsidP="00055393">
            <w:pPr>
              <w:jc w:val="center"/>
            </w:pPr>
            <w:r>
              <w:t>8</w:t>
            </w:r>
          </w:p>
        </w:tc>
        <w:tc>
          <w:tcPr>
            <w:tcW w:w="6465" w:type="dxa"/>
          </w:tcPr>
          <w:p w14:paraId="1A55ED58" w14:textId="77777777" w:rsidR="00732A6A" w:rsidRDefault="00732A6A" w:rsidP="00732A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Preparing for job interviews</w:t>
            </w:r>
          </w:p>
          <w:p w14:paraId="66E74DB7" w14:textId="63D9170B" w:rsidR="00055393" w:rsidRDefault="00055393" w:rsidP="00055393"/>
        </w:tc>
        <w:tc>
          <w:tcPr>
            <w:tcW w:w="1228" w:type="dxa"/>
          </w:tcPr>
          <w:p w14:paraId="36EA1971" w14:textId="1AB8C745" w:rsidR="00055393" w:rsidRDefault="00055393" w:rsidP="00055393">
            <w:r>
              <w:t>1</w:t>
            </w:r>
          </w:p>
        </w:tc>
        <w:tc>
          <w:tcPr>
            <w:tcW w:w="5473" w:type="dxa"/>
          </w:tcPr>
          <w:p w14:paraId="0694398D" w14:textId="45F7C8E1" w:rsidR="00F13EF2" w:rsidRPr="00292A2B" w:rsidRDefault="00F13EF2" w:rsidP="00F13EF2">
            <w:pPr>
              <w:rPr>
                <w:rFonts w:ascii="Calibri" w:hAnsi="Calibri" w:cs="Calibri"/>
              </w:rPr>
            </w:pPr>
            <w:r w:rsidRPr="00292A2B">
              <w:rPr>
                <w:rFonts w:ascii="Calibri" w:hAnsi="Calibri" w:cs="Calibri"/>
              </w:rPr>
              <w:t>Correctly identify good ways to prepare for a job interview.</w:t>
            </w:r>
            <w:r>
              <w:rPr>
                <w:rFonts w:ascii="Calibri" w:hAnsi="Calibri" w:cs="Calibri"/>
              </w:rPr>
              <w:t xml:space="preserve"> </w:t>
            </w:r>
            <w:r w:rsidRPr="00292A2B">
              <w:rPr>
                <w:rFonts w:ascii="Calibri" w:hAnsi="Calibri" w:cs="Calibri"/>
              </w:rPr>
              <w:t>Describe what applicants could do to improve their chances of securing employment through job interviews.</w:t>
            </w:r>
            <w:r>
              <w:rPr>
                <w:rFonts w:ascii="Calibri" w:hAnsi="Calibri" w:cs="Calibri"/>
              </w:rPr>
              <w:t xml:space="preserve"> </w:t>
            </w:r>
            <w:r w:rsidRPr="00292A2B">
              <w:rPr>
                <w:rFonts w:ascii="Calibri" w:hAnsi="Calibri" w:cs="Calibri"/>
              </w:rPr>
              <w:t>Explain why some applicants would be picked over others by putting yourself in the position of the employer.</w:t>
            </w:r>
            <w:r>
              <w:rPr>
                <w:rFonts w:ascii="Calibri" w:hAnsi="Calibri" w:cs="Calibri"/>
              </w:rPr>
              <w:t xml:space="preserve"> The difference between competency &amp; unstructured questions. To understand the role body language plays in the interview process.</w:t>
            </w:r>
            <w:r w:rsidR="00C45070">
              <w:rPr>
                <w:rFonts w:ascii="Calibri" w:hAnsi="Calibri" w:cs="Calibri"/>
              </w:rPr>
              <w:t xml:space="preserve"> External presentation-ASK Apprenticeships: Interview techniques</w:t>
            </w:r>
          </w:p>
          <w:p w14:paraId="480CD372" w14:textId="3BE6977D" w:rsidR="00055393" w:rsidRPr="00055393" w:rsidRDefault="00055393" w:rsidP="73C51881">
            <w:pPr>
              <w:autoSpaceDE w:val="0"/>
              <w:autoSpaceDN w:val="0"/>
              <w:adjustRightInd w:val="0"/>
              <w:rPr>
                <w:rFonts w:eastAsia="Times New Roman"/>
                <w:color w:val="1B1C20"/>
                <w:lang w:eastAsia="en-GB"/>
              </w:rPr>
            </w:pPr>
          </w:p>
        </w:tc>
      </w:tr>
      <w:tr w:rsidR="00055393" w14:paraId="1207493E" w14:textId="77777777" w:rsidTr="7BABBD14">
        <w:tc>
          <w:tcPr>
            <w:tcW w:w="1271" w:type="dxa"/>
          </w:tcPr>
          <w:p w14:paraId="45FB0818" w14:textId="77777777" w:rsidR="00055393" w:rsidRDefault="00055393" w:rsidP="00055393"/>
        </w:tc>
        <w:tc>
          <w:tcPr>
            <w:tcW w:w="1156" w:type="dxa"/>
          </w:tcPr>
          <w:p w14:paraId="4B73E586" w14:textId="22317513" w:rsidR="00055393" w:rsidRDefault="00815770" w:rsidP="00055393">
            <w:pPr>
              <w:jc w:val="center"/>
            </w:pPr>
            <w:r>
              <w:t>9-10</w:t>
            </w:r>
          </w:p>
        </w:tc>
        <w:tc>
          <w:tcPr>
            <w:tcW w:w="6465" w:type="dxa"/>
          </w:tcPr>
          <w:p w14:paraId="155AFAE7" w14:textId="21E7C03E" w:rsidR="00055393" w:rsidRDefault="00815770" w:rsidP="00055393">
            <w:r>
              <w:rPr>
                <w:rFonts w:ascii="Calibri" w:hAnsi="Calibri" w:cs="Calibri"/>
              </w:rPr>
              <w:t>Morrisby Profiling Prep.</w:t>
            </w:r>
          </w:p>
        </w:tc>
        <w:tc>
          <w:tcPr>
            <w:tcW w:w="1228" w:type="dxa"/>
          </w:tcPr>
          <w:p w14:paraId="4D714EF4" w14:textId="536A2A10" w:rsidR="00055393" w:rsidRDefault="00757D5A" w:rsidP="00757D5A">
            <w:r>
              <w:t>1</w:t>
            </w:r>
            <w:r w:rsidR="00055393">
              <w:t xml:space="preserve">&amp; </w:t>
            </w:r>
            <w:r w:rsidR="00412125">
              <w:t>2</w:t>
            </w:r>
          </w:p>
        </w:tc>
        <w:tc>
          <w:tcPr>
            <w:tcW w:w="5473" w:type="dxa"/>
          </w:tcPr>
          <w:p w14:paraId="0CB728B7" w14:textId="668D3BC4" w:rsidR="00A76F98" w:rsidRDefault="00A76F98" w:rsidP="004121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introduce Morrisby psychometric profiling to the students &amp; explain its benefits</w:t>
            </w:r>
            <w:r w:rsidR="00412125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To set the students up for undertaking the psychometric test</w:t>
            </w:r>
          </w:p>
          <w:p w14:paraId="0C3CD401" w14:textId="50809E07" w:rsidR="00055393" w:rsidRDefault="00055393" w:rsidP="00055393"/>
        </w:tc>
      </w:tr>
      <w:tr w:rsidR="00055393" w14:paraId="3CD4333D" w14:textId="77777777" w:rsidTr="7BABBD14">
        <w:tc>
          <w:tcPr>
            <w:tcW w:w="1271" w:type="dxa"/>
          </w:tcPr>
          <w:p w14:paraId="43BDD3B5" w14:textId="20E199D1" w:rsidR="00055393" w:rsidRPr="00412125" w:rsidRDefault="00610050" w:rsidP="00055393">
            <w:pPr>
              <w:rPr>
                <w:b/>
                <w:bCs/>
                <w:sz w:val="24"/>
                <w:szCs w:val="24"/>
              </w:rPr>
            </w:pPr>
            <w:r w:rsidRPr="00412125">
              <w:rPr>
                <w:b/>
                <w:bCs/>
                <w:sz w:val="24"/>
                <w:szCs w:val="24"/>
              </w:rPr>
              <w:t>U5 (Yr 11)</w:t>
            </w:r>
          </w:p>
        </w:tc>
        <w:tc>
          <w:tcPr>
            <w:tcW w:w="7621" w:type="dxa"/>
            <w:gridSpan w:val="2"/>
          </w:tcPr>
          <w:p w14:paraId="138634BD" w14:textId="169A4A9D" w:rsidR="00055393" w:rsidRPr="006860B9" w:rsidRDefault="006860B9" w:rsidP="00055393">
            <w:pPr>
              <w:rPr>
                <w:b/>
                <w:bCs/>
              </w:rPr>
            </w:pPr>
            <w:r w:rsidRPr="006860B9">
              <w:rPr>
                <w:b/>
                <w:bCs/>
              </w:rPr>
              <w:t>Choices post 16</w:t>
            </w:r>
          </w:p>
        </w:tc>
        <w:tc>
          <w:tcPr>
            <w:tcW w:w="1228" w:type="dxa"/>
          </w:tcPr>
          <w:p w14:paraId="049F31CB" w14:textId="77777777" w:rsidR="00055393" w:rsidRDefault="00055393" w:rsidP="00055393"/>
        </w:tc>
        <w:tc>
          <w:tcPr>
            <w:tcW w:w="5473" w:type="dxa"/>
          </w:tcPr>
          <w:p w14:paraId="53128261" w14:textId="77777777" w:rsidR="00055393" w:rsidRDefault="00055393" w:rsidP="00055393"/>
        </w:tc>
      </w:tr>
      <w:tr w:rsidR="00055393" w14:paraId="4C249A50" w14:textId="77777777" w:rsidTr="7BABBD14">
        <w:tc>
          <w:tcPr>
            <w:tcW w:w="1271" w:type="dxa"/>
          </w:tcPr>
          <w:p w14:paraId="62486C05" w14:textId="77777777" w:rsidR="00055393" w:rsidRDefault="00055393" w:rsidP="00055393"/>
        </w:tc>
        <w:tc>
          <w:tcPr>
            <w:tcW w:w="1156" w:type="dxa"/>
          </w:tcPr>
          <w:p w14:paraId="249FAAB8" w14:textId="02234831" w:rsidR="00055393" w:rsidRDefault="00055393" w:rsidP="00055393">
            <w:pPr>
              <w:jc w:val="center"/>
            </w:pPr>
            <w:r>
              <w:t>1</w:t>
            </w:r>
            <w:r w:rsidR="009D6BDD">
              <w:t>-2</w:t>
            </w:r>
          </w:p>
        </w:tc>
        <w:tc>
          <w:tcPr>
            <w:tcW w:w="6465" w:type="dxa"/>
          </w:tcPr>
          <w:p w14:paraId="491B2BC8" w14:textId="77777777" w:rsidR="00A2446A" w:rsidRDefault="00A2446A" w:rsidP="00A2446A">
            <w:pPr>
              <w:rPr>
                <w:rFonts w:cstheme="minorHAnsi"/>
              </w:rPr>
            </w:pPr>
            <w:r>
              <w:rPr>
                <w:rFonts w:cstheme="minorHAnsi"/>
              </w:rPr>
              <w:t>Preparation for their Careers Interview</w:t>
            </w:r>
          </w:p>
          <w:p w14:paraId="7B404DCE" w14:textId="7BC82AB4" w:rsidR="00055393" w:rsidRDefault="00055393" w:rsidP="00055393"/>
        </w:tc>
        <w:tc>
          <w:tcPr>
            <w:tcW w:w="1228" w:type="dxa"/>
          </w:tcPr>
          <w:p w14:paraId="25503E34" w14:textId="2A042D71" w:rsidR="00055393" w:rsidRDefault="00055393" w:rsidP="00055393">
            <w:r>
              <w:t xml:space="preserve">1, </w:t>
            </w:r>
            <w:r w:rsidR="009D6BDD">
              <w:t>3, 8</w:t>
            </w:r>
          </w:p>
        </w:tc>
        <w:tc>
          <w:tcPr>
            <w:tcW w:w="5473" w:type="dxa"/>
          </w:tcPr>
          <w:p w14:paraId="054856DA" w14:textId="0AF82B5A" w:rsidR="003C70EA" w:rsidRPr="00082B87" w:rsidRDefault="003C70EA" w:rsidP="003C70EA">
            <w:pPr>
              <w:rPr>
                <w:rFonts w:cstheme="minorHAnsi"/>
              </w:rPr>
            </w:pPr>
            <w:r w:rsidRPr="00082B87">
              <w:rPr>
                <w:rFonts w:cstheme="minorHAnsi"/>
              </w:rPr>
              <w:t>To help pupils understand their individual Morrisby profile</w:t>
            </w:r>
            <w:r>
              <w:rPr>
                <w:rFonts w:cstheme="minorHAnsi"/>
              </w:rPr>
              <w:t xml:space="preserve"> &amp; how it might be used in the future</w:t>
            </w:r>
            <w:r w:rsidRPr="00082B87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082B87">
              <w:rPr>
                <w:rFonts w:cstheme="minorHAnsi"/>
              </w:rPr>
              <w:t>To interpret their own personal academic and practical strengths, and to understand how they might be used for their future careers. To learn how to navigate Morrisby online</w:t>
            </w:r>
            <w:r>
              <w:rPr>
                <w:rFonts w:cstheme="minorHAnsi"/>
              </w:rPr>
              <w:t xml:space="preserve"> and </w:t>
            </w:r>
            <w:r w:rsidRPr="00082B87">
              <w:rPr>
                <w:rFonts w:cstheme="minorHAnsi"/>
              </w:rPr>
              <w:t>explore the information available.</w:t>
            </w:r>
            <w:r>
              <w:rPr>
                <w:rFonts w:cstheme="minorHAnsi"/>
              </w:rPr>
              <w:t xml:space="preserve"> To prepare for their personal Career interviews so they can make the most of the available time.</w:t>
            </w:r>
          </w:p>
          <w:p w14:paraId="0D36FA39" w14:textId="55C6DD61" w:rsidR="00055393" w:rsidRDefault="00055393" w:rsidP="00055393"/>
        </w:tc>
      </w:tr>
      <w:tr w:rsidR="00055393" w14:paraId="2EBFDA49" w14:textId="77777777" w:rsidTr="7BABBD14">
        <w:tc>
          <w:tcPr>
            <w:tcW w:w="1271" w:type="dxa"/>
          </w:tcPr>
          <w:p w14:paraId="4101652C" w14:textId="77777777" w:rsidR="00055393" w:rsidRDefault="00055393" w:rsidP="00055393"/>
        </w:tc>
        <w:tc>
          <w:tcPr>
            <w:tcW w:w="1156" w:type="dxa"/>
          </w:tcPr>
          <w:p w14:paraId="7144751B" w14:textId="3A0A5E07" w:rsidR="00055393" w:rsidRDefault="00B70EBE" w:rsidP="00055393">
            <w:pPr>
              <w:jc w:val="center"/>
            </w:pPr>
            <w:r>
              <w:t>3</w:t>
            </w:r>
          </w:p>
        </w:tc>
        <w:tc>
          <w:tcPr>
            <w:tcW w:w="6465" w:type="dxa"/>
          </w:tcPr>
          <w:p w14:paraId="62EF4956" w14:textId="4DE04F6F" w:rsidR="00055393" w:rsidRDefault="00B70EBE" w:rsidP="00055393">
            <w:r w:rsidRPr="00A867FA">
              <w:rPr>
                <w:rFonts w:ascii="Calibri" w:hAnsi="Calibri" w:cs="Calibri"/>
              </w:rPr>
              <w:t>Work experience introduction</w:t>
            </w:r>
          </w:p>
        </w:tc>
        <w:tc>
          <w:tcPr>
            <w:tcW w:w="1228" w:type="dxa"/>
          </w:tcPr>
          <w:p w14:paraId="4591720F" w14:textId="286BE81D" w:rsidR="00055393" w:rsidRDefault="00315894" w:rsidP="00055393">
            <w:r>
              <w:t>3 &amp; 6</w:t>
            </w:r>
          </w:p>
        </w:tc>
        <w:tc>
          <w:tcPr>
            <w:tcW w:w="5473" w:type="dxa"/>
          </w:tcPr>
          <w:p w14:paraId="7B50568B" w14:textId="1EE10CA2" w:rsidR="00047579" w:rsidRPr="00A867FA" w:rsidRDefault="00047579" w:rsidP="00047579">
            <w:pPr>
              <w:rPr>
                <w:rFonts w:ascii="Calibri" w:hAnsi="Calibri" w:cs="Calibri"/>
              </w:rPr>
            </w:pPr>
            <w:r w:rsidRPr="00A867FA">
              <w:rPr>
                <w:rFonts w:ascii="Calibri" w:hAnsi="Calibri" w:cs="Calibri"/>
              </w:rPr>
              <w:t>To introduce pupils to what work experience is and why it is useful.</w:t>
            </w:r>
            <w:r>
              <w:rPr>
                <w:rFonts w:ascii="Calibri" w:hAnsi="Calibri" w:cs="Calibri"/>
              </w:rPr>
              <w:t xml:space="preserve"> </w:t>
            </w:r>
            <w:r w:rsidRPr="00A867FA">
              <w:rPr>
                <w:rFonts w:ascii="Calibri" w:hAnsi="Calibri" w:cs="Calibri"/>
              </w:rPr>
              <w:t>To explain how to find work placements and the practical aspects linked to its facilitation.</w:t>
            </w:r>
            <w:r w:rsidR="00703DAE">
              <w:rPr>
                <w:rFonts w:ascii="Calibri" w:hAnsi="Calibri" w:cs="Calibri"/>
              </w:rPr>
              <w:t xml:space="preserve"> L6 come into talk to the U5 about their work experience</w:t>
            </w:r>
            <w:r w:rsidR="00856FD2">
              <w:rPr>
                <w:rFonts w:ascii="Calibri" w:hAnsi="Calibri" w:cs="Calibri"/>
              </w:rPr>
              <w:t xml:space="preserve"> (How they found it, what it was like, best &amp; worst bits etc)</w:t>
            </w:r>
          </w:p>
          <w:p w14:paraId="1D2ECE7E" w14:textId="18646DF7" w:rsidR="00055393" w:rsidRDefault="00055393" w:rsidP="00055393">
            <w:r>
              <w:t xml:space="preserve"> </w:t>
            </w:r>
          </w:p>
        </w:tc>
      </w:tr>
      <w:tr w:rsidR="00055393" w14:paraId="10CCB269" w14:textId="77777777" w:rsidTr="7BABBD14">
        <w:tc>
          <w:tcPr>
            <w:tcW w:w="1271" w:type="dxa"/>
          </w:tcPr>
          <w:p w14:paraId="4B99056E" w14:textId="77777777" w:rsidR="00055393" w:rsidRDefault="00055393" w:rsidP="00055393"/>
        </w:tc>
        <w:tc>
          <w:tcPr>
            <w:tcW w:w="1156" w:type="dxa"/>
          </w:tcPr>
          <w:p w14:paraId="3DF7515A" w14:textId="331E7FA5" w:rsidR="00055393" w:rsidRDefault="00E60C8F" w:rsidP="00055393">
            <w:pPr>
              <w:jc w:val="center"/>
            </w:pPr>
            <w:r>
              <w:t>4</w:t>
            </w:r>
          </w:p>
        </w:tc>
        <w:tc>
          <w:tcPr>
            <w:tcW w:w="6465" w:type="dxa"/>
          </w:tcPr>
          <w:p w14:paraId="4E0B988F" w14:textId="49AEBF7F" w:rsidR="00055393" w:rsidRDefault="00E60C8F" w:rsidP="00055393">
            <w:r>
              <w:rPr>
                <w:rFonts w:ascii="Calibri" w:hAnsi="Calibri" w:cs="Calibri"/>
              </w:rPr>
              <w:t>A-Level Choices</w:t>
            </w:r>
          </w:p>
        </w:tc>
        <w:tc>
          <w:tcPr>
            <w:tcW w:w="1228" w:type="dxa"/>
          </w:tcPr>
          <w:p w14:paraId="19F14E3C" w14:textId="5A97AF40" w:rsidR="00055393" w:rsidRDefault="00055393" w:rsidP="00055393">
            <w:pPr>
              <w:jc w:val="both"/>
            </w:pPr>
            <w:r>
              <w:t>1</w:t>
            </w:r>
            <w:r w:rsidR="0069703B">
              <w:t xml:space="preserve"> &amp; 6</w:t>
            </w:r>
          </w:p>
        </w:tc>
        <w:tc>
          <w:tcPr>
            <w:tcW w:w="5473" w:type="dxa"/>
          </w:tcPr>
          <w:p w14:paraId="7E7DF9D1" w14:textId="1A3B1F69" w:rsidR="003A2008" w:rsidRDefault="003A2008" w:rsidP="003A20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support students in their A-Level Choices. To consider the criteria which can be used to choose subjects &amp; subject combinations. To place A-Level choices within a broader university application background. To consider the subjects universities require for certain courses. To consider using matrix/action plans/ activities to encourage reflection and in- depth though prior to decision making.</w:t>
            </w:r>
          </w:p>
          <w:p w14:paraId="59F68081" w14:textId="295A0BAA" w:rsidR="00055393" w:rsidRDefault="00055393" w:rsidP="00055393"/>
        </w:tc>
      </w:tr>
      <w:tr w:rsidR="00055393" w14:paraId="13A513CC" w14:textId="77777777" w:rsidTr="7BABBD14">
        <w:tc>
          <w:tcPr>
            <w:tcW w:w="1271" w:type="dxa"/>
          </w:tcPr>
          <w:p w14:paraId="3461D779" w14:textId="77777777" w:rsidR="00055393" w:rsidRDefault="00055393" w:rsidP="00055393"/>
        </w:tc>
        <w:tc>
          <w:tcPr>
            <w:tcW w:w="1156" w:type="dxa"/>
          </w:tcPr>
          <w:p w14:paraId="2EB67643" w14:textId="11E8ABD5" w:rsidR="00055393" w:rsidRDefault="00B92434" w:rsidP="00055393">
            <w:pPr>
              <w:jc w:val="center"/>
            </w:pPr>
            <w:r>
              <w:t>5</w:t>
            </w:r>
          </w:p>
        </w:tc>
        <w:tc>
          <w:tcPr>
            <w:tcW w:w="6465" w:type="dxa"/>
          </w:tcPr>
          <w:p w14:paraId="198AE183" w14:textId="5716C42F" w:rsidR="00055393" w:rsidRDefault="00B92434" w:rsidP="00055393">
            <w:r w:rsidRPr="00BA01B9">
              <w:rPr>
                <w:rFonts w:ascii="Calibri" w:hAnsi="Calibri" w:cs="Calibri"/>
              </w:rPr>
              <w:t>Alternatives to A-Levels</w:t>
            </w:r>
          </w:p>
        </w:tc>
        <w:tc>
          <w:tcPr>
            <w:tcW w:w="1228" w:type="dxa"/>
          </w:tcPr>
          <w:p w14:paraId="3F91A6F1" w14:textId="194A3B0E" w:rsidR="00055393" w:rsidRDefault="00DE2FE1" w:rsidP="00055393">
            <w:r>
              <w:t>1 &amp; 3</w:t>
            </w:r>
            <w:r w:rsidR="00615D27">
              <w:t>, 7</w:t>
            </w:r>
          </w:p>
        </w:tc>
        <w:tc>
          <w:tcPr>
            <w:tcW w:w="5473" w:type="dxa"/>
          </w:tcPr>
          <w:p w14:paraId="0C7AB400" w14:textId="187889E9" w:rsidR="001F0C3A" w:rsidRPr="00BA01B9" w:rsidRDefault="001F0C3A" w:rsidP="001F0C3A">
            <w:pPr>
              <w:rPr>
                <w:rFonts w:ascii="Calibri" w:hAnsi="Calibri" w:cs="Calibri"/>
              </w:rPr>
            </w:pPr>
            <w:r w:rsidRPr="00BA01B9">
              <w:rPr>
                <w:rFonts w:ascii="Calibri" w:hAnsi="Calibri" w:cs="Calibri"/>
              </w:rPr>
              <w:t>To gain an understanding of T Levels</w:t>
            </w:r>
            <w:r>
              <w:rPr>
                <w:rFonts w:ascii="Calibri" w:hAnsi="Calibri" w:cs="Calibri"/>
              </w:rPr>
              <w:t xml:space="preserve">, </w:t>
            </w:r>
            <w:r w:rsidRPr="00BA01B9">
              <w:rPr>
                <w:rFonts w:ascii="Calibri" w:hAnsi="Calibri" w:cs="Calibri"/>
              </w:rPr>
              <w:t>BTEC’s</w:t>
            </w:r>
            <w:r>
              <w:rPr>
                <w:rFonts w:ascii="Calibri" w:hAnsi="Calibri" w:cs="Calibri"/>
              </w:rPr>
              <w:t xml:space="preserve"> &amp; IB</w:t>
            </w:r>
            <w:r w:rsidRPr="00BA01B9">
              <w:rPr>
                <w:rFonts w:ascii="Calibri" w:hAnsi="Calibri" w:cs="Calibri"/>
              </w:rPr>
              <w:t>- looking at how they are structured &amp; assessed</w:t>
            </w:r>
            <w:r>
              <w:rPr>
                <w:rFonts w:ascii="Calibri" w:hAnsi="Calibri" w:cs="Calibri"/>
              </w:rPr>
              <w:t xml:space="preserve">. </w:t>
            </w:r>
            <w:r w:rsidRPr="00BA01B9">
              <w:rPr>
                <w:rFonts w:ascii="Calibri" w:hAnsi="Calibri" w:cs="Calibri"/>
              </w:rPr>
              <w:t>To think about how T Level &amp; BTEC</w:t>
            </w:r>
            <w:r>
              <w:rPr>
                <w:rFonts w:ascii="Calibri" w:hAnsi="Calibri" w:cs="Calibri"/>
              </w:rPr>
              <w:t>, IB</w:t>
            </w:r>
            <w:r w:rsidRPr="00BA01B9">
              <w:rPr>
                <w:rFonts w:ascii="Calibri" w:hAnsi="Calibri" w:cs="Calibri"/>
              </w:rPr>
              <w:t xml:space="preserve"> differ from A-Levels</w:t>
            </w:r>
            <w:r>
              <w:rPr>
                <w:rFonts w:ascii="Calibri" w:hAnsi="Calibri" w:cs="Calibri"/>
              </w:rPr>
              <w:t xml:space="preserve">. </w:t>
            </w:r>
            <w:r w:rsidRPr="00BA01B9">
              <w:rPr>
                <w:rFonts w:ascii="Calibri" w:hAnsi="Calibri" w:cs="Calibri"/>
              </w:rPr>
              <w:t>To make sure that students are in a position to make an informed decision about their higher education opportunities</w:t>
            </w:r>
          </w:p>
          <w:p w14:paraId="5397F84F" w14:textId="23BFC7A3" w:rsidR="00055393" w:rsidRDefault="00055393" w:rsidP="00055393"/>
        </w:tc>
      </w:tr>
      <w:tr w:rsidR="00055393" w14:paraId="243E86AB" w14:textId="77777777" w:rsidTr="7BABBD14">
        <w:tc>
          <w:tcPr>
            <w:tcW w:w="1271" w:type="dxa"/>
          </w:tcPr>
          <w:p w14:paraId="3CF2D8B6" w14:textId="77777777" w:rsidR="00055393" w:rsidRDefault="00055393" w:rsidP="00055393"/>
        </w:tc>
        <w:tc>
          <w:tcPr>
            <w:tcW w:w="1156" w:type="dxa"/>
          </w:tcPr>
          <w:p w14:paraId="735DA4F4" w14:textId="30F3A62E" w:rsidR="00055393" w:rsidRDefault="00A4283B" w:rsidP="00055393">
            <w:pPr>
              <w:jc w:val="center"/>
            </w:pPr>
            <w:r>
              <w:t>6</w:t>
            </w:r>
          </w:p>
        </w:tc>
        <w:tc>
          <w:tcPr>
            <w:tcW w:w="6465" w:type="dxa"/>
          </w:tcPr>
          <w:p w14:paraId="72CDA504" w14:textId="171ACE70" w:rsidR="00055393" w:rsidRDefault="00A4283B" w:rsidP="00055393">
            <w:r w:rsidRPr="008A5040">
              <w:rPr>
                <w:rFonts w:ascii="Calibri" w:hAnsi="Calibri" w:cs="Calibri"/>
              </w:rPr>
              <w:t>Apprenticeships</w:t>
            </w:r>
          </w:p>
        </w:tc>
        <w:tc>
          <w:tcPr>
            <w:tcW w:w="1228" w:type="dxa"/>
          </w:tcPr>
          <w:p w14:paraId="106462B3" w14:textId="5C93E123" w:rsidR="00055393" w:rsidRDefault="007C5AC7" w:rsidP="007C5AC7">
            <w:r>
              <w:t>1</w:t>
            </w:r>
            <w:r w:rsidR="00055393">
              <w:t>&amp; 3</w:t>
            </w:r>
          </w:p>
        </w:tc>
        <w:tc>
          <w:tcPr>
            <w:tcW w:w="5473" w:type="dxa"/>
          </w:tcPr>
          <w:p w14:paraId="009DE972" w14:textId="6D74F85D" w:rsidR="0016590E" w:rsidRPr="008A5040" w:rsidRDefault="0016590E" w:rsidP="0016590E">
            <w:pPr>
              <w:rPr>
                <w:rFonts w:ascii="Calibri" w:hAnsi="Calibri" w:cs="Calibri"/>
              </w:rPr>
            </w:pPr>
            <w:r w:rsidRPr="008A5040">
              <w:rPr>
                <w:rFonts w:ascii="Calibri" w:hAnsi="Calibri" w:cs="Calibri"/>
              </w:rPr>
              <w:t>To understand what apprenticeships are, how they work &amp; the different levels of entry.</w:t>
            </w:r>
            <w:r>
              <w:rPr>
                <w:rFonts w:ascii="Calibri" w:hAnsi="Calibri" w:cs="Calibri"/>
              </w:rPr>
              <w:t xml:space="preserve"> </w:t>
            </w:r>
            <w:r w:rsidRPr="008A5040">
              <w:rPr>
                <w:rFonts w:ascii="Calibri" w:hAnsi="Calibri" w:cs="Calibri"/>
              </w:rPr>
              <w:t>To watch personal stories of people choosing apprenticeships &amp; their reasons for doing so</w:t>
            </w:r>
            <w:r>
              <w:rPr>
                <w:rFonts w:ascii="Calibri" w:hAnsi="Calibri" w:cs="Calibri"/>
              </w:rPr>
              <w:t xml:space="preserve">. </w:t>
            </w:r>
            <w:r w:rsidRPr="008A5040">
              <w:rPr>
                <w:rFonts w:ascii="Calibri" w:hAnsi="Calibri" w:cs="Calibri"/>
              </w:rPr>
              <w:t>To understand how you apply for apprenticeships</w:t>
            </w:r>
            <w:r>
              <w:rPr>
                <w:rFonts w:ascii="Calibri" w:hAnsi="Calibri" w:cs="Calibri"/>
              </w:rPr>
              <w:t xml:space="preserve">. We often </w:t>
            </w:r>
            <w:r w:rsidR="00FE6731">
              <w:rPr>
                <w:rFonts w:ascii="Calibri" w:hAnsi="Calibri" w:cs="Calibri"/>
              </w:rPr>
              <w:t>have a presentation from</w:t>
            </w:r>
            <w:r>
              <w:rPr>
                <w:rFonts w:ascii="Calibri" w:hAnsi="Calibri" w:cs="Calibri"/>
              </w:rPr>
              <w:t xml:space="preserve"> ASK Apprenticeships</w:t>
            </w:r>
            <w:r w:rsidR="00FE6731">
              <w:rPr>
                <w:rFonts w:ascii="Calibri" w:hAnsi="Calibri" w:cs="Calibri"/>
              </w:rPr>
              <w:t>.</w:t>
            </w:r>
          </w:p>
          <w:p w14:paraId="56026D66" w14:textId="0A32C79B" w:rsidR="00055393" w:rsidRDefault="00055393" w:rsidP="00055393"/>
        </w:tc>
      </w:tr>
      <w:tr w:rsidR="00055393" w14:paraId="55858595" w14:textId="77777777" w:rsidTr="7BABBD14">
        <w:tc>
          <w:tcPr>
            <w:tcW w:w="1271" w:type="dxa"/>
          </w:tcPr>
          <w:p w14:paraId="0FB78278" w14:textId="77777777" w:rsidR="00055393" w:rsidRDefault="00055393" w:rsidP="00055393"/>
        </w:tc>
        <w:tc>
          <w:tcPr>
            <w:tcW w:w="1156" w:type="dxa"/>
          </w:tcPr>
          <w:p w14:paraId="48DF98D7" w14:textId="550371A0" w:rsidR="00055393" w:rsidRDefault="00C23A9C" w:rsidP="00055393">
            <w:pPr>
              <w:jc w:val="center"/>
            </w:pPr>
            <w:r>
              <w:t>7-10</w:t>
            </w:r>
          </w:p>
        </w:tc>
        <w:tc>
          <w:tcPr>
            <w:tcW w:w="6465" w:type="dxa"/>
          </w:tcPr>
          <w:p w14:paraId="2CA3C130" w14:textId="77777777" w:rsidR="00C23A9C" w:rsidRDefault="00C23A9C" w:rsidP="00C23A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A-Level options- new subjects</w:t>
            </w:r>
          </w:p>
          <w:p w14:paraId="2C29688F" w14:textId="3BCFC420" w:rsidR="00055393" w:rsidRDefault="00055393" w:rsidP="00055393"/>
        </w:tc>
        <w:tc>
          <w:tcPr>
            <w:tcW w:w="1228" w:type="dxa"/>
          </w:tcPr>
          <w:p w14:paraId="419E28FC" w14:textId="371D9D9A" w:rsidR="00055393" w:rsidRDefault="00055393" w:rsidP="00055393">
            <w:r>
              <w:t>1</w:t>
            </w:r>
          </w:p>
        </w:tc>
        <w:tc>
          <w:tcPr>
            <w:tcW w:w="5473" w:type="dxa"/>
          </w:tcPr>
          <w:p w14:paraId="366242AC" w14:textId="41E58A29" w:rsidR="00632092" w:rsidRDefault="00632092" w:rsidP="00632092">
            <w:pPr>
              <w:rPr>
                <w:rFonts w:ascii="Calibri" w:hAnsi="Calibri" w:cs="Calibri"/>
              </w:rPr>
            </w:pPr>
            <w:r w:rsidRPr="008A5040">
              <w:rPr>
                <w:rFonts w:ascii="Calibri" w:hAnsi="Calibri" w:cs="Calibri"/>
              </w:rPr>
              <w:t xml:space="preserve">To </w:t>
            </w:r>
            <w:r>
              <w:rPr>
                <w:rFonts w:ascii="Calibri" w:hAnsi="Calibri" w:cs="Calibri"/>
              </w:rPr>
              <w:t>have a clear understanding of the specification content, assessment structure &amp; the types of careers or university courses that are derived from the new subjects available at A-Level. (Psychology, Economics, Fashion &amp; Textiles, Business Studies, Classical Civilisation, EPQ)</w:t>
            </w:r>
          </w:p>
          <w:p w14:paraId="72A49CF1" w14:textId="77777777" w:rsidR="00632092" w:rsidRDefault="00632092" w:rsidP="006320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allow the students to ask any questions they might have in preparation for their A-level choices.</w:t>
            </w:r>
          </w:p>
          <w:p w14:paraId="3025CF4D" w14:textId="77777777" w:rsidR="00632092" w:rsidRDefault="00632092" w:rsidP="006320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pre-empt the Sixth Form Open Evening.</w:t>
            </w:r>
          </w:p>
          <w:p w14:paraId="5E9FF418" w14:textId="5E09BB46" w:rsidR="00055393" w:rsidRDefault="00055393" w:rsidP="00055393"/>
        </w:tc>
      </w:tr>
      <w:tr w:rsidR="00055393" w14:paraId="47A6671C" w14:textId="77777777" w:rsidTr="7BABBD14">
        <w:tc>
          <w:tcPr>
            <w:tcW w:w="1271" w:type="dxa"/>
          </w:tcPr>
          <w:p w14:paraId="08951058" w14:textId="6008B28B" w:rsidR="00055393" w:rsidRDefault="00055393" w:rsidP="00055393">
            <w:r>
              <w:t>U</w:t>
            </w:r>
            <w:r w:rsidR="00B71403">
              <w:t>5 (Yr11)</w:t>
            </w:r>
          </w:p>
        </w:tc>
        <w:tc>
          <w:tcPr>
            <w:tcW w:w="7621" w:type="dxa"/>
            <w:gridSpan w:val="2"/>
          </w:tcPr>
          <w:p w14:paraId="2A76CDFE" w14:textId="52E694D9" w:rsidR="00055393" w:rsidRPr="00610050" w:rsidRDefault="00B71403" w:rsidP="00055393">
            <w:pPr>
              <w:rPr>
                <w:b/>
                <w:bCs/>
              </w:rPr>
            </w:pPr>
            <w:r w:rsidRPr="00610050">
              <w:rPr>
                <w:b/>
                <w:bCs/>
              </w:rPr>
              <w:t>Work Experience Preparation</w:t>
            </w:r>
          </w:p>
        </w:tc>
        <w:tc>
          <w:tcPr>
            <w:tcW w:w="1228" w:type="dxa"/>
          </w:tcPr>
          <w:p w14:paraId="1FC39945" w14:textId="77777777" w:rsidR="00055393" w:rsidRDefault="00055393" w:rsidP="00055393"/>
        </w:tc>
        <w:tc>
          <w:tcPr>
            <w:tcW w:w="5473" w:type="dxa"/>
          </w:tcPr>
          <w:p w14:paraId="0562CB0E" w14:textId="77777777" w:rsidR="00055393" w:rsidRPr="00691A96" w:rsidRDefault="00055393" w:rsidP="00055393"/>
        </w:tc>
      </w:tr>
      <w:tr w:rsidR="00055393" w14:paraId="730D2FD2" w14:textId="77777777" w:rsidTr="7BABBD14">
        <w:tc>
          <w:tcPr>
            <w:tcW w:w="1271" w:type="dxa"/>
          </w:tcPr>
          <w:p w14:paraId="34CE0A41" w14:textId="77777777" w:rsidR="00055393" w:rsidRDefault="00055393" w:rsidP="00055393"/>
        </w:tc>
        <w:tc>
          <w:tcPr>
            <w:tcW w:w="1156" w:type="dxa"/>
          </w:tcPr>
          <w:p w14:paraId="2E32D521" w14:textId="1876D69A" w:rsidR="00055393" w:rsidRDefault="00A231AE" w:rsidP="00055393">
            <w:pPr>
              <w:jc w:val="center"/>
            </w:pPr>
            <w:r>
              <w:t>11-</w:t>
            </w:r>
            <w:r w:rsidR="00FC31F4">
              <w:t>12</w:t>
            </w:r>
          </w:p>
        </w:tc>
        <w:tc>
          <w:tcPr>
            <w:tcW w:w="6465" w:type="dxa"/>
          </w:tcPr>
          <w:p w14:paraId="458AF70A" w14:textId="77777777" w:rsidR="00A231AE" w:rsidRDefault="00A231AE" w:rsidP="00A231A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Writing letters of application and cover letters</w:t>
            </w:r>
          </w:p>
          <w:p w14:paraId="4D816721" w14:textId="67D51D61" w:rsidR="00055393" w:rsidRDefault="00055393" w:rsidP="00055393"/>
        </w:tc>
        <w:tc>
          <w:tcPr>
            <w:tcW w:w="1228" w:type="dxa"/>
          </w:tcPr>
          <w:p w14:paraId="7EEFD330" w14:textId="13109C41" w:rsidR="00055393" w:rsidRDefault="00786608" w:rsidP="00786608">
            <w:r>
              <w:t>1,3</w:t>
            </w:r>
          </w:p>
        </w:tc>
        <w:tc>
          <w:tcPr>
            <w:tcW w:w="5473" w:type="dxa"/>
          </w:tcPr>
          <w:p w14:paraId="767BA611" w14:textId="5DBC299E" w:rsidR="009A082C" w:rsidRDefault="009A082C" w:rsidP="00FC3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understand how a cover letter is different to a CV &amp; how they complement each other.</w:t>
            </w:r>
            <w:r w:rsidR="00FC31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To understand the format &amp; structure of a letter of application or cover letter.</w:t>
            </w:r>
            <w:r w:rsidR="00FC31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To understand what the content should be within a letter of application &amp; the mistakes to avoid.</w:t>
            </w:r>
            <w:r w:rsidR="00FC31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Writing a draft letter of application for a work experience placement.</w:t>
            </w:r>
          </w:p>
          <w:p w14:paraId="1B1D66F6" w14:textId="2240DBC7" w:rsidR="00055393" w:rsidRDefault="00055393" w:rsidP="009A082C"/>
        </w:tc>
      </w:tr>
      <w:tr w:rsidR="00055393" w14:paraId="4175D84E" w14:textId="77777777" w:rsidTr="7BABBD14">
        <w:tc>
          <w:tcPr>
            <w:tcW w:w="1271" w:type="dxa"/>
          </w:tcPr>
          <w:p w14:paraId="6D98A12B" w14:textId="77777777" w:rsidR="00055393" w:rsidRDefault="00055393" w:rsidP="00055393"/>
        </w:tc>
        <w:tc>
          <w:tcPr>
            <w:tcW w:w="1156" w:type="dxa"/>
          </w:tcPr>
          <w:p w14:paraId="0B778152" w14:textId="0D8BF2C1" w:rsidR="00055393" w:rsidRDefault="0042210E" w:rsidP="00055393">
            <w:pPr>
              <w:jc w:val="center"/>
            </w:pPr>
            <w:r>
              <w:t>13</w:t>
            </w:r>
            <w:r w:rsidR="00662912">
              <w:t>-15</w:t>
            </w:r>
          </w:p>
        </w:tc>
        <w:tc>
          <w:tcPr>
            <w:tcW w:w="6465" w:type="dxa"/>
          </w:tcPr>
          <w:p w14:paraId="1E67B761" w14:textId="647DB43B" w:rsidR="00055393" w:rsidRDefault="0042210E" w:rsidP="00055393">
            <w:r>
              <w:rPr>
                <w:rFonts w:ascii="Calibri" w:hAnsi="Calibri" w:cs="Calibri"/>
              </w:rPr>
              <w:t>Writing a CV</w:t>
            </w:r>
          </w:p>
        </w:tc>
        <w:tc>
          <w:tcPr>
            <w:tcW w:w="1228" w:type="dxa"/>
          </w:tcPr>
          <w:p w14:paraId="0C50080F" w14:textId="4EDE43FA" w:rsidR="00055393" w:rsidRDefault="00055393" w:rsidP="00055393">
            <w:r>
              <w:t>1</w:t>
            </w:r>
            <w:r w:rsidR="00786608">
              <w:t>,3</w:t>
            </w:r>
          </w:p>
        </w:tc>
        <w:tc>
          <w:tcPr>
            <w:tcW w:w="5473" w:type="dxa"/>
          </w:tcPr>
          <w:p w14:paraId="5474A8DD" w14:textId="168251A4" w:rsidR="009C5B00" w:rsidRPr="001C5D77" w:rsidRDefault="009C5B00" w:rsidP="009C5B00">
            <w:pPr>
              <w:pStyle w:val="Default"/>
              <w:spacing w:after="81"/>
              <w:rPr>
                <w:rFonts w:ascii="Calibri" w:hAnsi="Calibri" w:cs="Calibri"/>
                <w:sz w:val="22"/>
                <w:szCs w:val="22"/>
              </w:rPr>
            </w:pPr>
            <w:r w:rsidRPr="001C5D77">
              <w:rPr>
                <w:rFonts w:ascii="Calibri" w:hAnsi="Calibri" w:cs="Calibri"/>
                <w:sz w:val="22"/>
                <w:szCs w:val="22"/>
              </w:rPr>
              <w:t xml:space="preserve">Know what a CV is for and be familiar with two common formats. Understand that a CV should highlight the skills, qualities, qualifications, and experience for which a potential employer is looking. </w:t>
            </w:r>
          </w:p>
          <w:p w14:paraId="688C27E4" w14:textId="415CBF01" w:rsidR="00055393" w:rsidRPr="009C5B00" w:rsidRDefault="009C5B00" w:rsidP="009C5B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</w:rPr>
            </w:pPr>
            <w:r w:rsidRPr="001C5D77">
              <w:rPr>
                <w:rFonts w:ascii="Calibri" w:hAnsi="Calibri" w:cs="Calibri"/>
                <w:color w:val="333333"/>
              </w:rPr>
              <w:t>Be able to review a CV, including their own, and identify areas for improvement. Be able to identify key words in a job advertisement.</w:t>
            </w:r>
          </w:p>
        </w:tc>
      </w:tr>
      <w:tr w:rsidR="00055393" w14:paraId="4EECDF2D" w14:textId="77777777" w:rsidTr="7BABBD14">
        <w:tc>
          <w:tcPr>
            <w:tcW w:w="1271" w:type="dxa"/>
          </w:tcPr>
          <w:p w14:paraId="2946DB82" w14:textId="77777777" w:rsidR="00055393" w:rsidRDefault="00055393" w:rsidP="00055393"/>
        </w:tc>
        <w:tc>
          <w:tcPr>
            <w:tcW w:w="1156" w:type="dxa"/>
          </w:tcPr>
          <w:p w14:paraId="279935FF" w14:textId="5C46A341" w:rsidR="00055393" w:rsidRDefault="0084488A" w:rsidP="00055393">
            <w:pPr>
              <w:jc w:val="center"/>
            </w:pPr>
            <w:r>
              <w:t>16</w:t>
            </w:r>
          </w:p>
        </w:tc>
        <w:tc>
          <w:tcPr>
            <w:tcW w:w="6465" w:type="dxa"/>
          </w:tcPr>
          <w:p w14:paraId="258F9006" w14:textId="77777777" w:rsidR="00116221" w:rsidRPr="009256C5" w:rsidRDefault="00116221" w:rsidP="00116221">
            <w:pPr>
              <w:rPr>
                <w:rFonts w:ascii="Calibri" w:hAnsi="Calibri" w:cs="Calibri"/>
              </w:rPr>
            </w:pPr>
            <w:r w:rsidRPr="009256C5">
              <w:rPr>
                <w:rFonts w:ascii="Calibri" w:hAnsi="Calibri" w:cs="Calibri"/>
              </w:rPr>
              <w:t>Work experience- what do you hope to achieve from work experience</w:t>
            </w:r>
          </w:p>
          <w:p w14:paraId="34E92B22" w14:textId="21250DCF" w:rsidR="00055393" w:rsidRDefault="00055393" w:rsidP="00055393"/>
        </w:tc>
        <w:tc>
          <w:tcPr>
            <w:tcW w:w="1228" w:type="dxa"/>
          </w:tcPr>
          <w:p w14:paraId="68A04BA0" w14:textId="42B1FBC5" w:rsidR="00055393" w:rsidRDefault="00B45D39" w:rsidP="00055393">
            <w:r>
              <w:t xml:space="preserve">1, </w:t>
            </w:r>
            <w:r w:rsidR="00786608">
              <w:t>3</w:t>
            </w:r>
          </w:p>
        </w:tc>
        <w:tc>
          <w:tcPr>
            <w:tcW w:w="5473" w:type="dxa"/>
          </w:tcPr>
          <w:p w14:paraId="37E68C5C" w14:textId="6B6394CE" w:rsidR="0084488A" w:rsidRPr="009256C5" w:rsidRDefault="0084488A" w:rsidP="0084488A">
            <w:pPr>
              <w:rPr>
                <w:rFonts w:ascii="Calibri" w:hAnsi="Calibri" w:cs="Calibri"/>
                <w:bCs/>
              </w:rPr>
            </w:pPr>
            <w:r w:rsidRPr="009256C5">
              <w:rPr>
                <w:rFonts w:ascii="Calibri" w:hAnsi="Calibri" w:cs="Calibri"/>
                <w:bCs/>
              </w:rPr>
              <w:t>To allow the student to consider what they hope to achieve from their own work placement</w:t>
            </w:r>
            <w:r>
              <w:rPr>
                <w:rFonts w:ascii="Calibri" w:hAnsi="Calibri" w:cs="Calibri"/>
                <w:bCs/>
              </w:rPr>
              <w:t xml:space="preserve">. </w:t>
            </w:r>
            <w:r w:rsidRPr="009256C5">
              <w:rPr>
                <w:rFonts w:ascii="Calibri" w:hAnsi="Calibri" w:cs="Calibri"/>
                <w:bCs/>
              </w:rPr>
              <w:t>To discuss how work experience should be approached &amp; how realistic their expectations of the experience might be.</w:t>
            </w:r>
          </w:p>
          <w:p w14:paraId="7250C1CC" w14:textId="37C67E91" w:rsidR="0084488A" w:rsidRPr="009256C5" w:rsidRDefault="0084488A" w:rsidP="0084488A">
            <w:pPr>
              <w:rPr>
                <w:rFonts w:ascii="Calibri" w:hAnsi="Calibri" w:cs="Calibri"/>
                <w:bCs/>
              </w:rPr>
            </w:pPr>
            <w:r w:rsidRPr="009256C5">
              <w:rPr>
                <w:rFonts w:ascii="Calibri" w:hAnsi="Calibri" w:cs="Calibri"/>
                <w:bCs/>
              </w:rPr>
              <w:t>What the student should do to gain the most from the experience.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9256C5">
              <w:rPr>
                <w:rFonts w:ascii="Calibri" w:hAnsi="Calibri" w:cs="Calibri"/>
                <w:bCs/>
              </w:rPr>
              <w:t>To look at the work experience booklet</w:t>
            </w:r>
          </w:p>
          <w:p w14:paraId="0B0CA7E9" w14:textId="6C4B12F4" w:rsidR="00055393" w:rsidRDefault="00055393" w:rsidP="00055393"/>
        </w:tc>
      </w:tr>
      <w:tr w:rsidR="00055393" w14:paraId="11206EF5" w14:textId="77777777" w:rsidTr="7BABBD14">
        <w:tc>
          <w:tcPr>
            <w:tcW w:w="1271" w:type="dxa"/>
          </w:tcPr>
          <w:p w14:paraId="5997CC1D" w14:textId="77777777" w:rsidR="00055393" w:rsidRDefault="00055393" w:rsidP="00055393"/>
        </w:tc>
        <w:tc>
          <w:tcPr>
            <w:tcW w:w="1156" w:type="dxa"/>
          </w:tcPr>
          <w:p w14:paraId="112C5399" w14:textId="2CCCBE37" w:rsidR="00055393" w:rsidRDefault="00CB0584" w:rsidP="00055393">
            <w:pPr>
              <w:jc w:val="center"/>
            </w:pPr>
            <w:r>
              <w:t>17</w:t>
            </w:r>
          </w:p>
        </w:tc>
        <w:tc>
          <w:tcPr>
            <w:tcW w:w="6465" w:type="dxa"/>
          </w:tcPr>
          <w:p w14:paraId="1ED7998B" w14:textId="06219C32" w:rsidR="00055393" w:rsidRDefault="00CB0584" w:rsidP="00055393">
            <w:r>
              <w:t>Health &amp; Safety whilst on work experience</w:t>
            </w:r>
          </w:p>
        </w:tc>
        <w:tc>
          <w:tcPr>
            <w:tcW w:w="1228" w:type="dxa"/>
          </w:tcPr>
          <w:p w14:paraId="57B8BC87" w14:textId="03A3EC6E" w:rsidR="00055393" w:rsidRDefault="00055393" w:rsidP="00055393">
            <w:r>
              <w:t xml:space="preserve">1, </w:t>
            </w:r>
            <w:r w:rsidR="00786608">
              <w:t>6</w:t>
            </w:r>
          </w:p>
        </w:tc>
        <w:tc>
          <w:tcPr>
            <w:tcW w:w="5473" w:type="dxa"/>
          </w:tcPr>
          <w:p w14:paraId="7B8E0151" w14:textId="45B621E7" w:rsidR="00055393" w:rsidRDefault="001C5D77" w:rsidP="00055393">
            <w:r>
              <w:t>Video and discussion about health &amp; safety in the work place.</w:t>
            </w:r>
          </w:p>
        </w:tc>
      </w:tr>
      <w:tr w:rsidR="00055393" w14:paraId="3A3343A1" w14:textId="77777777" w:rsidTr="7BABBD14">
        <w:tc>
          <w:tcPr>
            <w:tcW w:w="1271" w:type="dxa"/>
          </w:tcPr>
          <w:p w14:paraId="110FFD37" w14:textId="77777777" w:rsidR="00055393" w:rsidRDefault="00055393" w:rsidP="00055393"/>
        </w:tc>
        <w:tc>
          <w:tcPr>
            <w:tcW w:w="1156" w:type="dxa"/>
          </w:tcPr>
          <w:p w14:paraId="109B8484" w14:textId="29B9A59F" w:rsidR="00055393" w:rsidRDefault="007F07D7" w:rsidP="00055393">
            <w:pPr>
              <w:jc w:val="center"/>
            </w:pPr>
            <w:r>
              <w:t>18</w:t>
            </w:r>
          </w:p>
        </w:tc>
        <w:tc>
          <w:tcPr>
            <w:tcW w:w="6465" w:type="dxa"/>
          </w:tcPr>
          <w:p w14:paraId="0AA35943" w14:textId="22D2AB42" w:rsidR="00055393" w:rsidRDefault="007F07D7" w:rsidP="00055393">
            <w:r>
              <w:t>Work Experience Briefing</w:t>
            </w:r>
          </w:p>
        </w:tc>
        <w:tc>
          <w:tcPr>
            <w:tcW w:w="1228" w:type="dxa"/>
          </w:tcPr>
          <w:p w14:paraId="3B797485" w14:textId="63E77426" w:rsidR="00055393" w:rsidRDefault="00F63FEF" w:rsidP="00055393">
            <w:r>
              <w:t>1,5,6</w:t>
            </w:r>
          </w:p>
        </w:tc>
        <w:tc>
          <w:tcPr>
            <w:tcW w:w="5473" w:type="dxa"/>
          </w:tcPr>
          <w:p w14:paraId="6CE21B38" w14:textId="77777777" w:rsidR="00055393" w:rsidRDefault="00441029" w:rsidP="000553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PPt which explores the practical aspects of work experience: what time to arrive, what to wear, what to do if you are ill, what to do for lunch, what to do if the</w:t>
            </w:r>
            <w:r w:rsidR="00040688">
              <w:rPr>
                <w:rFonts w:ascii="Calibri" w:hAnsi="Calibri" w:cs="Calibri"/>
              </w:rPr>
              <w:t>y don’t think that things are right or if there is a problem etc.</w:t>
            </w:r>
          </w:p>
          <w:p w14:paraId="3F5F81CE" w14:textId="67A22DA1" w:rsidR="00CA269E" w:rsidRPr="004015EE" w:rsidRDefault="00CA269E" w:rsidP="00055393">
            <w:pPr>
              <w:rPr>
                <w:rFonts w:ascii="Calibri" w:hAnsi="Calibri" w:cs="Calibri"/>
              </w:rPr>
            </w:pPr>
          </w:p>
        </w:tc>
      </w:tr>
      <w:tr w:rsidR="00055393" w14:paraId="52D55617" w14:textId="77777777" w:rsidTr="7BABBD14">
        <w:tc>
          <w:tcPr>
            <w:tcW w:w="1271" w:type="dxa"/>
          </w:tcPr>
          <w:p w14:paraId="6B699379" w14:textId="77777777" w:rsidR="00055393" w:rsidRDefault="00055393" w:rsidP="00055393"/>
        </w:tc>
        <w:tc>
          <w:tcPr>
            <w:tcW w:w="1156" w:type="dxa"/>
          </w:tcPr>
          <w:p w14:paraId="03853697" w14:textId="08776DBD" w:rsidR="00055393" w:rsidRDefault="001272BE" w:rsidP="00055393">
            <w:pPr>
              <w:jc w:val="center"/>
            </w:pPr>
            <w:r>
              <w:t>19</w:t>
            </w:r>
          </w:p>
        </w:tc>
        <w:tc>
          <w:tcPr>
            <w:tcW w:w="6465" w:type="dxa"/>
          </w:tcPr>
          <w:p w14:paraId="38A99A0D" w14:textId="10E66790" w:rsidR="00055393" w:rsidRDefault="001272BE" w:rsidP="00055393">
            <w:r>
              <w:t>What if scenarios</w:t>
            </w:r>
          </w:p>
        </w:tc>
        <w:tc>
          <w:tcPr>
            <w:tcW w:w="1228" w:type="dxa"/>
          </w:tcPr>
          <w:p w14:paraId="7B65AC4B" w14:textId="761E1677" w:rsidR="00055393" w:rsidRDefault="00055393" w:rsidP="00055393">
            <w:r>
              <w:t>1</w:t>
            </w:r>
            <w:r w:rsidR="001272BE">
              <w:t>, 5</w:t>
            </w:r>
          </w:p>
        </w:tc>
        <w:tc>
          <w:tcPr>
            <w:tcW w:w="5473" w:type="dxa"/>
          </w:tcPr>
          <w:p w14:paraId="2A48D25A" w14:textId="24B4BF64" w:rsidR="00055393" w:rsidRDefault="001272BE" w:rsidP="00055393">
            <w:r>
              <w:t>Set of scenario cards</w:t>
            </w:r>
            <w:r w:rsidR="000E1AE0">
              <w:t>- what might happen on work experience. Group tasks</w:t>
            </w:r>
          </w:p>
        </w:tc>
      </w:tr>
      <w:tr w:rsidR="00055393" w14:paraId="1104FC4E" w14:textId="77777777" w:rsidTr="7BABBD14">
        <w:tc>
          <w:tcPr>
            <w:tcW w:w="1271" w:type="dxa"/>
          </w:tcPr>
          <w:p w14:paraId="3FE9F23F" w14:textId="77777777" w:rsidR="00055393" w:rsidRDefault="00055393" w:rsidP="00055393"/>
        </w:tc>
        <w:tc>
          <w:tcPr>
            <w:tcW w:w="1156" w:type="dxa"/>
          </w:tcPr>
          <w:p w14:paraId="2B2B7304" w14:textId="74060460" w:rsidR="00055393" w:rsidRDefault="00060281" w:rsidP="00055393">
            <w:pPr>
              <w:jc w:val="center"/>
            </w:pPr>
            <w:r>
              <w:t>20</w:t>
            </w:r>
          </w:p>
        </w:tc>
        <w:tc>
          <w:tcPr>
            <w:tcW w:w="6465" w:type="dxa"/>
          </w:tcPr>
          <w:p w14:paraId="3861610B" w14:textId="1E691434" w:rsidR="00055393" w:rsidRDefault="00060281" w:rsidP="00055393">
            <w:r>
              <w:t>Mopping up &amp; evaluation</w:t>
            </w:r>
          </w:p>
        </w:tc>
        <w:tc>
          <w:tcPr>
            <w:tcW w:w="1228" w:type="dxa"/>
          </w:tcPr>
          <w:p w14:paraId="0605B8A2" w14:textId="58D2365A" w:rsidR="00055393" w:rsidRDefault="00610050" w:rsidP="00055393">
            <w:r>
              <w:t>1, 5</w:t>
            </w:r>
          </w:p>
        </w:tc>
        <w:tc>
          <w:tcPr>
            <w:tcW w:w="5473" w:type="dxa"/>
          </w:tcPr>
          <w:p w14:paraId="265F8B75" w14:textId="2CB73051" w:rsidR="00055393" w:rsidRDefault="00060281" w:rsidP="00055393">
            <w:r>
              <w:t xml:space="preserve">Lesson to </w:t>
            </w:r>
            <w:r w:rsidR="00610050">
              <w:t>do final reminders, collect in paperwork, speak to individual</w:t>
            </w:r>
            <w:r w:rsidR="00CA269E">
              <w:t>s</w:t>
            </w:r>
            <w:r w:rsidR="00610050">
              <w:t xml:space="preserve"> about their placements &amp; complete the end of unit evaluation</w:t>
            </w:r>
            <w:r w:rsidR="00CA269E">
              <w:t>.</w:t>
            </w:r>
          </w:p>
        </w:tc>
      </w:tr>
    </w:tbl>
    <w:p w14:paraId="6BB9E253" w14:textId="77777777" w:rsidR="00AC0568" w:rsidRPr="00AC0568" w:rsidRDefault="00AC0568">
      <w:pPr>
        <w:rPr>
          <w:b/>
          <w:sz w:val="28"/>
          <w:szCs w:val="28"/>
          <w:u w:val="single"/>
          <w:lang w:val="en-US"/>
        </w:rPr>
      </w:pPr>
    </w:p>
    <w:sectPr w:rsidR="00AC0568" w:rsidRPr="00AC0568" w:rsidSect="00A04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9DC0A" w14:textId="77777777" w:rsidR="007E1C59" w:rsidRDefault="007E1C59" w:rsidP="008F1D1B">
      <w:pPr>
        <w:spacing w:after="0" w:line="240" w:lineRule="auto"/>
      </w:pPr>
      <w:r>
        <w:separator/>
      </w:r>
    </w:p>
  </w:endnote>
  <w:endnote w:type="continuationSeparator" w:id="0">
    <w:p w14:paraId="34F9BF63" w14:textId="77777777" w:rsidR="007E1C59" w:rsidRDefault="007E1C59" w:rsidP="008F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pert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xpert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AC07C" w14:textId="77777777" w:rsidR="007E1C59" w:rsidRDefault="007E1C59" w:rsidP="008F1D1B">
      <w:pPr>
        <w:spacing w:after="0" w:line="240" w:lineRule="auto"/>
      </w:pPr>
      <w:r>
        <w:separator/>
      </w:r>
    </w:p>
  </w:footnote>
  <w:footnote w:type="continuationSeparator" w:id="0">
    <w:p w14:paraId="2467F900" w14:textId="77777777" w:rsidR="007E1C59" w:rsidRDefault="007E1C59" w:rsidP="008F1D1B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659849046" textId="2004318071" start="33" length="15" invalidationStart="33" invalidationLength="15" id="UY94dcTG"/>
    <int:ParagraphRange paragraphId="173348217" textId="2004318071" start="6" length="4" invalidationStart="6" invalidationLength="4" id="u5ypqcjZ"/>
    <int:ParagraphRange paragraphId="221706809" textId="2004318071" start="32" length="25" invalidationStart="32" invalidationLength="25" id="yt2gndF8"/>
  </int:Manifest>
  <int:Observations>
    <int:Content id="UY94dcTG">
      <int:Rejection type="LegacyProofing"/>
    </int:Content>
    <int:Content id="u5ypqcjZ">
      <int:Rejection type="LegacyProofing"/>
    </int:Content>
    <int:Content id="yt2gndF8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65E"/>
    <w:multiLevelType w:val="hybridMultilevel"/>
    <w:tmpl w:val="C1FA2BBA"/>
    <w:lvl w:ilvl="0" w:tplc="F1004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6F6E"/>
    <w:multiLevelType w:val="hybridMultilevel"/>
    <w:tmpl w:val="1DD4D312"/>
    <w:lvl w:ilvl="0" w:tplc="63308F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006CE"/>
    <w:multiLevelType w:val="hybridMultilevel"/>
    <w:tmpl w:val="3D5C8738"/>
    <w:lvl w:ilvl="0" w:tplc="8DF2FE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3243"/>
    <w:multiLevelType w:val="hybridMultilevel"/>
    <w:tmpl w:val="DD443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A92"/>
    <w:multiLevelType w:val="hybridMultilevel"/>
    <w:tmpl w:val="80E09B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E36A3"/>
    <w:multiLevelType w:val="hybridMultilevel"/>
    <w:tmpl w:val="7250D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63E6C"/>
    <w:multiLevelType w:val="hybridMultilevel"/>
    <w:tmpl w:val="3540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8E6"/>
    <w:multiLevelType w:val="hybridMultilevel"/>
    <w:tmpl w:val="E61C6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16EB6"/>
    <w:multiLevelType w:val="hybridMultilevel"/>
    <w:tmpl w:val="6C3A4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15607"/>
    <w:multiLevelType w:val="hybridMultilevel"/>
    <w:tmpl w:val="9CFCF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20BA5"/>
    <w:multiLevelType w:val="hybridMultilevel"/>
    <w:tmpl w:val="0FA47FBA"/>
    <w:lvl w:ilvl="0" w:tplc="F61E5D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526D3"/>
    <w:multiLevelType w:val="multilevel"/>
    <w:tmpl w:val="CC16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6D542C"/>
    <w:multiLevelType w:val="hybridMultilevel"/>
    <w:tmpl w:val="99C0ED9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2E7906EC"/>
    <w:multiLevelType w:val="hybridMultilevel"/>
    <w:tmpl w:val="54906C9E"/>
    <w:lvl w:ilvl="0" w:tplc="66C64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3146C"/>
    <w:multiLevelType w:val="hybridMultilevel"/>
    <w:tmpl w:val="FC061526"/>
    <w:lvl w:ilvl="0" w:tplc="FB2A02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94EC9"/>
    <w:multiLevelType w:val="hybridMultilevel"/>
    <w:tmpl w:val="9ADC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02D71"/>
    <w:multiLevelType w:val="hybridMultilevel"/>
    <w:tmpl w:val="1B6A3900"/>
    <w:lvl w:ilvl="0" w:tplc="EEDAA980">
      <w:numFmt w:val="bullet"/>
      <w:lvlText w:val="•"/>
      <w:lvlJc w:val="left"/>
      <w:pPr>
        <w:ind w:left="720" w:hanging="360"/>
      </w:pPr>
      <w:rPr>
        <w:rFonts w:ascii="ExpertSans-Light" w:eastAsia="Times New Roman" w:hAnsi="ExpertSans-Light" w:cs="ExpertSans-Light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C0386"/>
    <w:multiLevelType w:val="hybridMultilevel"/>
    <w:tmpl w:val="4F9A5950"/>
    <w:lvl w:ilvl="0" w:tplc="1398F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73573"/>
    <w:multiLevelType w:val="hybridMultilevel"/>
    <w:tmpl w:val="1692446E"/>
    <w:lvl w:ilvl="0" w:tplc="67CEC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D1A2D"/>
    <w:multiLevelType w:val="hybridMultilevel"/>
    <w:tmpl w:val="EF9E2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12927"/>
    <w:multiLevelType w:val="hybridMultilevel"/>
    <w:tmpl w:val="1E4EE7F6"/>
    <w:lvl w:ilvl="0" w:tplc="EEDAA980">
      <w:numFmt w:val="bullet"/>
      <w:lvlText w:val="•"/>
      <w:lvlJc w:val="left"/>
      <w:pPr>
        <w:ind w:left="720" w:hanging="360"/>
      </w:pPr>
      <w:rPr>
        <w:rFonts w:ascii="ExpertSans-Light" w:eastAsia="Times New Roman" w:hAnsi="ExpertSans-Light" w:cs="ExpertSans-Light" w:hint="default"/>
        <w:sz w:val="20"/>
      </w:rPr>
    </w:lvl>
    <w:lvl w:ilvl="1" w:tplc="2F1248E8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27272"/>
    <w:multiLevelType w:val="hybridMultilevel"/>
    <w:tmpl w:val="2CEA5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63C8A"/>
    <w:multiLevelType w:val="hybridMultilevel"/>
    <w:tmpl w:val="97342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3411E"/>
    <w:multiLevelType w:val="hybridMultilevel"/>
    <w:tmpl w:val="8C505FB0"/>
    <w:lvl w:ilvl="0" w:tplc="EF6E01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1378A"/>
    <w:multiLevelType w:val="hybridMultilevel"/>
    <w:tmpl w:val="2AEAABFE"/>
    <w:lvl w:ilvl="0" w:tplc="433E0D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813FC"/>
    <w:multiLevelType w:val="hybridMultilevel"/>
    <w:tmpl w:val="B6A8C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D51CE"/>
    <w:multiLevelType w:val="hybridMultilevel"/>
    <w:tmpl w:val="412ECFFE"/>
    <w:lvl w:ilvl="0" w:tplc="E280FE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0514F"/>
    <w:multiLevelType w:val="hybridMultilevel"/>
    <w:tmpl w:val="AE464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331B8"/>
    <w:multiLevelType w:val="hybridMultilevel"/>
    <w:tmpl w:val="49F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25A5C"/>
    <w:multiLevelType w:val="hybridMultilevel"/>
    <w:tmpl w:val="A5F2A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E63DD"/>
    <w:multiLevelType w:val="hybridMultilevel"/>
    <w:tmpl w:val="6C9C2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A0B2A"/>
    <w:multiLevelType w:val="hybridMultilevel"/>
    <w:tmpl w:val="EB12A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F24B1"/>
    <w:multiLevelType w:val="hybridMultilevel"/>
    <w:tmpl w:val="AA949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F1BEA"/>
    <w:multiLevelType w:val="hybridMultilevel"/>
    <w:tmpl w:val="095C563E"/>
    <w:lvl w:ilvl="0" w:tplc="A56817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A26EA"/>
    <w:multiLevelType w:val="hybridMultilevel"/>
    <w:tmpl w:val="2068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F4397"/>
    <w:multiLevelType w:val="hybridMultilevel"/>
    <w:tmpl w:val="8DAA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C3B78"/>
    <w:multiLevelType w:val="hybridMultilevel"/>
    <w:tmpl w:val="090C6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222DC"/>
    <w:multiLevelType w:val="hybridMultilevel"/>
    <w:tmpl w:val="CE9A676C"/>
    <w:lvl w:ilvl="0" w:tplc="F9A26D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72DD8"/>
    <w:multiLevelType w:val="hybridMultilevel"/>
    <w:tmpl w:val="39CC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601B6">
      <w:numFmt w:val="bullet"/>
      <w:lvlText w:val="•"/>
      <w:lvlJc w:val="left"/>
      <w:pPr>
        <w:ind w:left="1440" w:hanging="360"/>
      </w:pPr>
      <w:rPr>
        <w:rFonts w:ascii="ExpertSans-Light" w:eastAsia="Times New Roman" w:hAnsi="ExpertSans-Light" w:cs="ExpertSans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73024">
    <w:abstractNumId w:val="36"/>
  </w:num>
  <w:num w:numId="2" w16cid:durableId="1371806804">
    <w:abstractNumId w:val="28"/>
  </w:num>
  <w:num w:numId="3" w16cid:durableId="803355124">
    <w:abstractNumId w:val="30"/>
  </w:num>
  <w:num w:numId="4" w16cid:durableId="1100950162">
    <w:abstractNumId w:val="34"/>
  </w:num>
  <w:num w:numId="5" w16cid:durableId="771558599">
    <w:abstractNumId w:val="10"/>
  </w:num>
  <w:num w:numId="6" w16cid:durableId="2093356264">
    <w:abstractNumId w:val="26"/>
  </w:num>
  <w:num w:numId="7" w16cid:durableId="1304045511">
    <w:abstractNumId w:val="32"/>
  </w:num>
  <w:num w:numId="8" w16cid:durableId="1657031457">
    <w:abstractNumId w:val="11"/>
  </w:num>
  <w:num w:numId="9" w16cid:durableId="1717924927">
    <w:abstractNumId w:val="2"/>
  </w:num>
  <w:num w:numId="10" w16cid:durableId="1213688193">
    <w:abstractNumId w:val="21"/>
  </w:num>
  <w:num w:numId="11" w16cid:durableId="1584489039">
    <w:abstractNumId w:val="38"/>
  </w:num>
  <w:num w:numId="12" w16cid:durableId="113446775">
    <w:abstractNumId w:val="8"/>
  </w:num>
  <w:num w:numId="13" w16cid:durableId="1042092930">
    <w:abstractNumId w:val="9"/>
  </w:num>
  <w:num w:numId="14" w16cid:durableId="363598054">
    <w:abstractNumId w:val="14"/>
  </w:num>
  <w:num w:numId="15" w16cid:durableId="80033953">
    <w:abstractNumId w:val="31"/>
  </w:num>
  <w:num w:numId="16" w16cid:durableId="875386971">
    <w:abstractNumId w:val="27"/>
  </w:num>
  <w:num w:numId="17" w16cid:durableId="1077483195">
    <w:abstractNumId w:val="23"/>
  </w:num>
  <w:num w:numId="18" w16cid:durableId="1500462454">
    <w:abstractNumId w:val="6"/>
  </w:num>
  <w:num w:numId="19" w16cid:durableId="1898979498">
    <w:abstractNumId w:val="0"/>
  </w:num>
  <w:num w:numId="20" w16cid:durableId="1782339738">
    <w:abstractNumId w:val="12"/>
  </w:num>
  <w:num w:numId="21" w16cid:durableId="1199782693">
    <w:abstractNumId w:val="18"/>
  </w:num>
  <w:num w:numId="22" w16cid:durableId="1048650425">
    <w:abstractNumId w:val="4"/>
  </w:num>
  <w:num w:numId="23" w16cid:durableId="1188375166">
    <w:abstractNumId w:val="29"/>
  </w:num>
  <w:num w:numId="24" w16cid:durableId="827870380">
    <w:abstractNumId w:val="7"/>
  </w:num>
  <w:num w:numId="25" w16cid:durableId="20323330">
    <w:abstractNumId w:val="24"/>
  </w:num>
  <w:num w:numId="26" w16cid:durableId="1284463340">
    <w:abstractNumId w:val="33"/>
  </w:num>
  <w:num w:numId="27" w16cid:durableId="1765833970">
    <w:abstractNumId w:val="19"/>
  </w:num>
  <w:num w:numId="28" w16cid:durableId="334378504">
    <w:abstractNumId w:val="17"/>
  </w:num>
  <w:num w:numId="29" w16cid:durableId="2107070396">
    <w:abstractNumId w:val="15"/>
  </w:num>
  <w:num w:numId="30" w16cid:durableId="814840362">
    <w:abstractNumId w:val="3"/>
  </w:num>
  <w:num w:numId="31" w16cid:durableId="1237470885">
    <w:abstractNumId w:val="35"/>
  </w:num>
  <w:num w:numId="32" w16cid:durableId="958494865">
    <w:abstractNumId w:val="1"/>
  </w:num>
  <w:num w:numId="33" w16cid:durableId="1365246848">
    <w:abstractNumId w:val="37"/>
  </w:num>
  <w:num w:numId="34" w16cid:durableId="1635406498">
    <w:abstractNumId w:val="22"/>
  </w:num>
  <w:num w:numId="35" w16cid:durableId="1335646714">
    <w:abstractNumId w:val="16"/>
  </w:num>
  <w:num w:numId="36" w16cid:durableId="296566091">
    <w:abstractNumId w:val="20"/>
  </w:num>
  <w:num w:numId="37" w16cid:durableId="2013020518">
    <w:abstractNumId w:val="25"/>
  </w:num>
  <w:num w:numId="38" w16cid:durableId="131143450">
    <w:abstractNumId w:val="5"/>
  </w:num>
  <w:num w:numId="39" w16cid:durableId="8698741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68"/>
    <w:rsid w:val="00040688"/>
    <w:rsid w:val="000447CE"/>
    <w:rsid w:val="00047579"/>
    <w:rsid w:val="00055393"/>
    <w:rsid w:val="00060281"/>
    <w:rsid w:val="00092B55"/>
    <w:rsid w:val="000C123C"/>
    <w:rsid w:val="000C17CC"/>
    <w:rsid w:val="000E1AE0"/>
    <w:rsid w:val="001018F4"/>
    <w:rsid w:val="00116221"/>
    <w:rsid w:val="001272BE"/>
    <w:rsid w:val="0016590E"/>
    <w:rsid w:val="0018479D"/>
    <w:rsid w:val="001C5D77"/>
    <w:rsid w:val="001F0C3A"/>
    <w:rsid w:val="00265EDB"/>
    <w:rsid w:val="002F5073"/>
    <w:rsid w:val="00307BA1"/>
    <w:rsid w:val="00311C83"/>
    <w:rsid w:val="00315894"/>
    <w:rsid w:val="00315998"/>
    <w:rsid w:val="00386D71"/>
    <w:rsid w:val="003A08D9"/>
    <w:rsid w:val="003A2008"/>
    <w:rsid w:val="003A7E59"/>
    <w:rsid w:val="003C70EA"/>
    <w:rsid w:val="003F4A01"/>
    <w:rsid w:val="004015EE"/>
    <w:rsid w:val="00412125"/>
    <w:rsid w:val="0042210E"/>
    <w:rsid w:val="00433D70"/>
    <w:rsid w:val="00437AEE"/>
    <w:rsid w:val="00441029"/>
    <w:rsid w:val="0048612C"/>
    <w:rsid w:val="004B537D"/>
    <w:rsid w:val="004E7591"/>
    <w:rsid w:val="00503BF3"/>
    <w:rsid w:val="005A4E6D"/>
    <w:rsid w:val="005E2BF1"/>
    <w:rsid w:val="005F0B70"/>
    <w:rsid w:val="00610050"/>
    <w:rsid w:val="00615D27"/>
    <w:rsid w:val="00632092"/>
    <w:rsid w:val="00662912"/>
    <w:rsid w:val="006860B9"/>
    <w:rsid w:val="00686BA8"/>
    <w:rsid w:val="00691A96"/>
    <w:rsid w:val="0069703B"/>
    <w:rsid w:val="006E70AD"/>
    <w:rsid w:val="00703DAE"/>
    <w:rsid w:val="00707CF9"/>
    <w:rsid w:val="00732A6A"/>
    <w:rsid w:val="00757D5A"/>
    <w:rsid w:val="00786608"/>
    <w:rsid w:val="007A1D83"/>
    <w:rsid w:val="007C21A6"/>
    <w:rsid w:val="007C5AC7"/>
    <w:rsid w:val="007E1C59"/>
    <w:rsid w:val="007F07D7"/>
    <w:rsid w:val="00815770"/>
    <w:rsid w:val="0084488A"/>
    <w:rsid w:val="00855A2A"/>
    <w:rsid w:val="00856FD2"/>
    <w:rsid w:val="00861432"/>
    <w:rsid w:val="008836AF"/>
    <w:rsid w:val="008B1FCD"/>
    <w:rsid w:val="008C1F3F"/>
    <w:rsid w:val="008F1D1B"/>
    <w:rsid w:val="009A082C"/>
    <w:rsid w:val="009C5B00"/>
    <w:rsid w:val="009D6BDD"/>
    <w:rsid w:val="00A041AC"/>
    <w:rsid w:val="00A231AE"/>
    <w:rsid w:val="00A2446A"/>
    <w:rsid w:val="00A4283B"/>
    <w:rsid w:val="00A76F98"/>
    <w:rsid w:val="00AC0568"/>
    <w:rsid w:val="00B072DE"/>
    <w:rsid w:val="00B2173D"/>
    <w:rsid w:val="00B445B5"/>
    <w:rsid w:val="00B45D39"/>
    <w:rsid w:val="00B70EBE"/>
    <w:rsid w:val="00B71403"/>
    <w:rsid w:val="00B843D3"/>
    <w:rsid w:val="00B92434"/>
    <w:rsid w:val="00BE0B56"/>
    <w:rsid w:val="00C22B8A"/>
    <w:rsid w:val="00C23A9C"/>
    <w:rsid w:val="00C45070"/>
    <w:rsid w:val="00C72B5B"/>
    <w:rsid w:val="00CA269E"/>
    <w:rsid w:val="00CB0584"/>
    <w:rsid w:val="00CD5489"/>
    <w:rsid w:val="00DE2FE1"/>
    <w:rsid w:val="00E60C8F"/>
    <w:rsid w:val="00F13EF2"/>
    <w:rsid w:val="00F6214E"/>
    <w:rsid w:val="00F63FEF"/>
    <w:rsid w:val="00F94811"/>
    <w:rsid w:val="00FA51A1"/>
    <w:rsid w:val="00FC31F4"/>
    <w:rsid w:val="00FE6731"/>
    <w:rsid w:val="01F26038"/>
    <w:rsid w:val="047B0320"/>
    <w:rsid w:val="052A00FA"/>
    <w:rsid w:val="081B7CD8"/>
    <w:rsid w:val="0E384BD6"/>
    <w:rsid w:val="0E7195FF"/>
    <w:rsid w:val="0F5D6B6C"/>
    <w:rsid w:val="1430DC8F"/>
    <w:rsid w:val="1548124A"/>
    <w:rsid w:val="1D53242F"/>
    <w:rsid w:val="22F94262"/>
    <w:rsid w:val="25EABE40"/>
    <w:rsid w:val="27868EA1"/>
    <w:rsid w:val="27E4170F"/>
    <w:rsid w:val="2FEF28F4"/>
    <w:rsid w:val="3499FBB6"/>
    <w:rsid w:val="34B32413"/>
    <w:rsid w:val="3635CC17"/>
    <w:rsid w:val="427BB7B5"/>
    <w:rsid w:val="4C2299FB"/>
    <w:rsid w:val="5814AE89"/>
    <w:rsid w:val="589259BE"/>
    <w:rsid w:val="5AA4DAEA"/>
    <w:rsid w:val="5F784C0D"/>
    <w:rsid w:val="6A926053"/>
    <w:rsid w:val="6FF259A2"/>
    <w:rsid w:val="7204DACE"/>
    <w:rsid w:val="72294820"/>
    <w:rsid w:val="73C51881"/>
    <w:rsid w:val="74C5CAC5"/>
    <w:rsid w:val="79E74E52"/>
    <w:rsid w:val="7BABBD14"/>
    <w:rsid w:val="7CD0DCAA"/>
    <w:rsid w:val="7EBAB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0311C"/>
  <w15:chartTrackingRefBased/>
  <w15:docId w15:val="{67A52BC2-3350-4317-AB6F-0473D118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5B5"/>
    <w:pPr>
      <w:ind w:left="720"/>
      <w:contextualSpacing/>
    </w:pPr>
  </w:style>
  <w:style w:type="paragraph" w:customStyle="1" w:styleId="Default">
    <w:name w:val="Default"/>
    <w:rsid w:val="00F94811"/>
    <w:pPr>
      <w:autoSpaceDE w:val="0"/>
      <w:autoSpaceDN w:val="0"/>
      <w:adjustRightInd w:val="0"/>
      <w:spacing w:after="0" w:line="240" w:lineRule="auto"/>
    </w:pPr>
    <w:rPr>
      <w:rFonts w:ascii="Expert Sans" w:eastAsia="Times New Roman" w:hAnsi="Expert Sans" w:cs="Expert San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27a7720cec3d4cfd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dfef4-905e-436a-9237-720078d254bb">
      <Terms xmlns="http://schemas.microsoft.com/office/infopath/2007/PartnerControls"/>
    </lcf76f155ced4ddcb4097134ff3c332f>
    <TaxCatchAll xmlns="ff18f149-5ef6-4d87-b16f-ca242d84763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612207C771548829BB0F5A2811873" ma:contentTypeVersion="20" ma:contentTypeDescription="Create a new document." ma:contentTypeScope="" ma:versionID="2be1acb498d522a95b9d3add23f4c529">
  <xsd:schema xmlns:xsd="http://www.w3.org/2001/XMLSchema" xmlns:xs="http://www.w3.org/2001/XMLSchema" xmlns:p="http://schemas.microsoft.com/office/2006/metadata/properties" xmlns:ns1="http://schemas.microsoft.com/sharepoint/v3" xmlns:ns2="577dfef4-905e-436a-9237-720078d254bb" xmlns:ns3="ff18f149-5ef6-4d87-b16f-ca242d847635" targetNamespace="http://schemas.microsoft.com/office/2006/metadata/properties" ma:root="true" ma:fieldsID="4114e5598187b8887398987d9dd9e965" ns1:_="" ns2:_="" ns3:_="">
    <xsd:import namespace="http://schemas.microsoft.com/sharepoint/v3"/>
    <xsd:import namespace="577dfef4-905e-436a-9237-720078d254b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dfef4-905e-436a-9237-720078d25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0ad758-f05e-41ba-a784-effbd4400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ea6d3-1e3e-4dad-b728-0d43b0a608d0}" ma:internalName="TaxCatchAll" ma:showField="CatchAllData" ma:web="ff18f149-5ef6-4d87-b16f-ca242d847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39F26-1DB1-4955-BC9B-B477210E2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AD99E-AB41-4F4B-B832-09F3CA47F2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FEECE-D9FF-4572-8806-A65E9C0714C0}">
  <ds:schemaRefs>
    <ds:schemaRef ds:uri="http://schemas.microsoft.com/office/2006/metadata/properties"/>
    <ds:schemaRef ds:uri="http://schemas.microsoft.com/office/infopath/2007/PartnerControls"/>
    <ds:schemaRef ds:uri="577dfef4-905e-436a-9237-720078d254bb"/>
    <ds:schemaRef ds:uri="ff18f149-5ef6-4d87-b16f-ca242d84763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C47F9D8-96B9-476D-A763-62AAD843D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7dfef4-905e-436a-9237-720078d254bb"/>
    <ds:schemaRef ds:uri="ff18f149-5ef6-4d87-b16f-ca242d84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85</cp:revision>
  <dcterms:created xsi:type="dcterms:W3CDTF">2020-06-08T13:21:00Z</dcterms:created>
  <dcterms:modified xsi:type="dcterms:W3CDTF">2024-11-29T11:18:00Z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f337b9-6919-4328-9a40-40681b93b4de_Enabled">
    <vt:lpwstr>True</vt:lpwstr>
  </property>
  <property fmtid="{D5CDD505-2E9C-101B-9397-08002B2CF9AE}" pid="3" name="MSIP_Label_baf337b9-6919-4328-9a40-40681b93b4de_SiteId">
    <vt:lpwstr>32a3e669-6983-416d-9e40-784ff50d7812</vt:lpwstr>
  </property>
  <property fmtid="{D5CDD505-2E9C-101B-9397-08002B2CF9AE}" pid="4" name="MSIP_Label_baf337b9-6919-4328-9a40-40681b93b4de_Owner">
    <vt:lpwstr>DonnaLewis@maynard.co.uk</vt:lpwstr>
  </property>
  <property fmtid="{D5CDD505-2E9C-101B-9397-08002B2CF9AE}" pid="5" name="MSIP_Label_baf337b9-6919-4328-9a40-40681b93b4de_SetDate">
    <vt:lpwstr>2020-06-08T14:56:11.2643695Z</vt:lpwstr>
  </property>
  <property fmtid="{D5CDD505-2E9C-101B-9397-08002B2CF9AE}" pid="6" name="MSIP_Label_baf337b9-6919-4328-9a40-40681b93b4de_Name">
    <vt:lpwstr>General</vt:lpwstr>
  </property>
  <property fmtid="{D5CDD505-2E9C-101B-9397-08002B2CF9AE}" pid="7" name="MSIP_Label_baf337b9-6919-4328-9a40-40681b93b4de_Application">
    <vt:lpwstr>Microsoft Azure Information Protection</vt:lpwstr>
  </property>
  <property fmtid="{D5CDD505-2E9C-101B-9397-08002B2CF9AE}" pid="8" name="MSIP_Label_baf337b9-6919-4328-9a40-40681b93b4de_ActionId">
    <vt:lpwstr>8b8bd087-2df9-4474-9710-76f8d392bc4e</vt:lpwstr>
  </property>
  <property fmtid="{D5CDD505-2E9C-101B-9397-08002B2CF9AE}" pid="9" name="MSIP_Label_baf337b9-6919-4328-9a40-40681b93b4de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0x01010036C612207C771548829BB0F5A2811873</vt:lpwstr>
  </property>
  <property fmtid="{D5CDD505-2E9C-101B-9397-08002B2CF9AE}" pid="12" name="MediaServiceImageTags">
    <vt:lpwstr/>
  </property>
</Properties>
</file>